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823D0C" w:rsidR="00D11F50" w:rsidP="00D11F50" w:rsidRDefault="00D11F50" w14:paraId="6D93383F" w14:textId="251FA6F6">
      <w:pPr>
        <w:rPr>
          <w:b/>
          <w:bCs/>
          <w:color w:val="538135" w:themeColor="accent6" w:themeShade="BF"/>
          <w:sz w:val="40"/>
          <w:szCs w:val="40"/>
          <w:lang w:val="en-US"/>
        </w:rPr>
      </w:pPr>
      <w:r w:rsidRPr="00823D0C">
        <w:rPr>
          <w:b/>
          <w:bCs/>
          <w:color w:val="538135" w:themeColor="accent6" w:themeShade="BF"/>
          <w:sz w:val="40"/>
          <w:szCs w:val="40"/>
          <w:lang w:val="en-US"/>
        </w:rPr>
        <w:t xml:space="preserve">ODK PROCUREMENT </w:t>
      </w:r>
    </w:p>
    <w:p w:rsidR="00D11F50" w:rsidP="00D11F50" w:rsidRDefault="00D11F50" w14:paraId="352F538E" w14:textId="219F2115">
      <w:pPr>
        <w:rPr>
          <w:b/>
          <w:bCs/>
          <w:color w:val="538135" w:themeColor="accent6" w:themeShade="BF"/>
          <w:sz w:val="32"/>
          <w:szCs w:val="32"/>
          <w:lang w:val="en-US"/>
        </w:rPr>
      </w:pPr>
      <w:r w:rsidRPr="00823D0C">
        <w:rPr>
          <w:b/>
          <w:bCs/>
          <w:color w:val="538135" w:themeColor="accent6" w:themeShade="BF"/>
          <w:sz w:val="32"/>
          <w:szCs w:val="32"/>
          <w:lang w:val="en-US"/>
        </w:rPr>
        <w:t>TERMS OF REFERENCE FOR (RESTRICTED) TENDER</w:t>
      </w:r>
    </w:p>
    <w:p w:rsidRPr="00E045B5" w:rsidR="00E045B5" w:rsidP="00D11F50" w:rsidRDefault="00046F15" w14:paraId="6DFC52B3" w14:textId="058549C0">
      <w:pPr>
        <w:rPr>
          <w:b/>
          <w:bCs/>
          <w:color w:val="000000" w:themeColor="text1"/>
          <w:sz w:val="32"/>
          <w:szCs w:val="32"/>
          <w:lang w:val="en-US"/>
        </w:rPr>
      </w:pPr>
      <w:r>
        <w:rPr>
          <w:b/>
          <w:bCs/>
          <w:color w:val="000000" w:themeColor="text1"/>
          <w:sz w:val="32"/>
          <w:szCs w:val="32"/>
          <w:lang w:val="en-US"/>
        </w:rPr>
        <w:t xml:space="preserve">Strengthening implementation of Women, Peace and Security agenda </w:t>
      </w:r>
      <w:r w:rsidR="00E047F8">
        <w:rPr>
          <w:b/>
          <w:bCs/>
          <w:color w:val="000000" w:themeColor="text1"/>
          <w:sz w:val="32"/>
          <w:szCs w:val="32"/>
          <w:lang w:val="en-US"/>
        </w:rPr>
        <w:t xml:space="preserve">in Niger </w:t>
      </w:r>
      <w:r>
        <w:rPr>
          <w:b/>
          <w:bCs/>
          <w:color w:val="000000" w:themeColor="text1"/>
          <w:sz w:val="32"/>
          <w:szCs w:val="32"/>
          <w:lang w:val="en-US"/>
        </w:rPr>
        <w:t xml:space="preserve">through participatory action research and </w:t>
      </w:r>
      <w:r w:rsidRPr="00E045B5" w:rsidR="00E045B5">
        <w:rPr>
          <w:b/>
          <w:bCs/>
          <w:color w:val="000000" w:themeColor="text1"/>
          <w:sz w:val="32"/>
          <w:szCs w:val="32"/>
          <w:lang w:val="en-US"/>
        </w:rPr>
        <w:t xml:space="preserve">civil society </w:t>
      </w:r>
      <w:r>
        <w:rPr>
          <w:b/>
          <w:bCs/>
          <w:color w:val="000000" w:themeColor="text1"/>
          <w:sz w:val="32"/>
          <w:szCs w:val="32"/>
          <w:lang w:val="en-US"/>
        </w:rPr>
        <w:t>engagement</w:t>
      </w:r>
    </w:p>
    <w:p w:rsidRPr="00E045B5" w:rsidR="00D11F50" w:rsidP="59C84E19" w:rsidRDefault="59C84E19" w14:paraId="5A5BBE9D" w14:textId="556DDF7E">
      <w:pPr>
        <w:rPr>
          <w:b/>
          <w:bCs/>
          <w:color w:val="538135" w:themeColor="accent6" w:themeShade="BF"/>
          <w:sz w:val="28"/>
          <w:szCs w:val="28"/>
          <w:lang w:val="en-US"/>
        </w:rPr>
      </w:pPr>
      <w:r w:rsidRPr="59C84E19">
        <w:rPr>
          <w:b/>
          <w:bCs/>
          <w:color w:val="538135" w:themeColor="accent6" w:themeShade="BF"/>
          <w:sz w:val="28"/>
          <w:szCs w:val="28"/>
          <w:lang w:val="en-US"/>
        </w:rPr>
        <w:t>Background</w:t>
      </w:r>
    </w:p>
    <w:p w:rsidRPr="00A0121C" w:rsidR="00A0121C" w:rsidP="00A0121C" w:rsidRDefault="00A0121C" w14:paraId="3AD7E757" w14:textId="6D269E19">
      <w:pPr>
        <w:spacing w:before="240" w:after="240"/>
        <w:jc w:val="both"/>
        <w:rPr>
          <w:lang w:val="en-US"/>
        </w:rPr>
      </w:pPr>
      <w:r w:rsidRPr="00A0121C">
        <w:rPr>
          <w:lang w:val="en-US"/>
        </w:rPr>
        <w:t xml:space="preserve">For nearly 25 years, the Security Council, the UN and Member States have pledged their support for women’s full, equal, meaningful and safe participation in peace and security. The </w:t>
      </w:r>
      <w:r w:rsidRPr="00A0121C">
        <w:rPr>
          <w:b/>
          <w:lang w:val="en-US"/>
        </w:rPr>
        <w:t xml:space="preserve">UN Security Council Resolution 1325 </w:t>
      </w:r>
      <w:r w:rsidRPr="00A0121C">
        <w:rPr>
          <w:lang w:val="en-US"/>
        </w:rPr>
        <w:t>on Women, Peace and Security (WPS) was adopted on the 30th of October 2000, and hence has its 25th anniversary in 2025. The resolution calls on all parties to conflict to take special measures to protect women and girls from gender-based violence and human rights violations and reaffirms the crucial role that women play in the prevention and resolution of conflicts and in humanitarian response, recovery and peacebuilding. Yet today 25 years on, women’s rights are under</w:t>
      </w:r>
      <w:hyperlink r:id="rId7">
        <w:r w:rsidRPr="00A0121C">
          <w:rPr>
            <w:lang w:val="en-US"/>
          </w:rPr>
          <w:t xml:space="preserve"> </w:t>
        </w:r>
      </w:hyperlink>
      <w:hyperlink r:id="rId8">
        <w:r w:rsidRPr="00A0121C">
          <w:rPr>
            <w:color w:val="1155CC"/>
            <w:u w:val="single"/>
            <w:lang w:val="en-US"/>
          </w:rPr>
          <w:t>ceaseless attack</w:t>
        </w:r>
      </w:hyperlink>
      <w:r w:rsidRPr="00A0121C">
        <w:rPr>
          <w:lang w:val="en-US"/>
        </w:rPr>
        <w:t xml:space="preserve"> in contexts marked by intensifying conflict, rising</w:t>
      </w:r>
      <w:hyperlink r:id="rId9">
        <w:r w:rsidRPr="00A0121C">
          <w:rPr>
            <w:lang w:val="en-US"/>
          </w:rPr>
          <w:t xml:space="preserve"> </w:t>
        </w:r>
      </w:hyperlink>
      <w:hyperlink r:id="rId10">
        <w:r w:rsidRPr="00A0121C">
          <w:rPr>
            <w:color w:val="1155CC"/>
            <w:u w:val="single"/>
            <w:lang w:val="en-US"/>
          </w:rPr>
          <w:t>authoritarianism</w:t>
        </w:r>
      </w:hyperlink>
      <w:r w:rsidRPr="00A0121C">
        <w:rPr>
          <w:lang w:val="en-US"/>
        </w:rPr>
        <w:t>,</w:t>
      </w:r>
      <w:hyperlink r:id="rId11">
        <w:r w:rsidRPr="00A0121C">
          <w:rPr>
            <w:lang w:val="en-US"/>
          </w:rPr>
          <w:t xml:space="preserve"> </w:t>
        </w:r>
      </w:hyperlink>
      <w:hyperlink r:id="rId12">
        <w:r w:rsidRPr="00A0121C">
          <w:rPr>
            <w:color w:val="1155CC"/>
            <w:u w:val="single"/>
            <w:lang w:val="en-US"/>
          </w:rPr>
          <w:t>militarization</w:t>
        </w:r>
      </w:hyperlink>
      <w:r w:rsidRPr="00A0121C">
        <w:rPr>
          <w:lang w:val="en-US"/>
        </w:rPr>
        <w:t xml:space="preserve"> and</w:t>
      </w:r>
      <w:hyperlink r:id="rId13">
        <w:r w:rsidRPr="00A0121C">
          <w:rPr>
            <w:lang w:val="en-US"/>
          </w:rPr>
          <w:t xml:space="preserve"> </w:t>
        </w:r>
      </w:hyperlink>
      <w:hyperlink r:id="rId14">
        <w:r w:rsidRPr="00A0121C">
          <w:rPr>
            <w:color w:val="1155CC"/>
            <w:u w:val="single"/>
            <w:lang w:val="en-US"/>
          </w:rPr>
          <w:t>backlash</w:t>
        </w:r>
      </w:hyperlink>
      <w:r w:rsidRPr="00A0121C">
        <w:rPr>
          <w:lang w:val="en-US"/>
        </w:rPr>
        <w:t xml:space="preserve">. Women’s participation in peace processes remains unacceptably </w:t>
      </w:r>
      <w:proofErr w:type="gramStart"/>
      <w:r w:rsidRPr="00A0121C">
        <w:rPr>
          <w:lang w:val="en-US"/>
        </w:rPr>
        <w:t>low, and</w:t>
      </w:r>
      <w:proofErr w:type="gramEnd"/>
      <w:r w:rsidRPr="00A0121C">
        <w:rPr>
          <w:lang w:val="en-US"/>
        </w:rPr>
        <w:t xml:space="preserve"> is decreasing even in UN-supported peace processes</w:t>
      </w:r>
      <w:r>
        <w:rPr>
          <w:vertAlign w:val="superscript"/>
        </w:rPr>
        <w:footnoteReference w:id="1"/>
      </w:r>
      <w:r w:rsidRPr="00A0121C">
        <w:rPr>
          <w:lang w:val="en-US"/>
        </w:rPr>
        <w:t xml:space="preserve">. Women are disproportionately affected by conflicts, yet their voices are seldom heard. Extensive research has shown that women's participation is a necessity to create sustainable and lasting peace. On top of this, the operating landscape for the applying organizations has changed the past couple of years, with Russia’s invasion of Ukraine, the military aggression in Gaza as well as the global backlash on women’s rights and the climate crisis. These changing global geopolitical-, climate- and security conditions call for a renewed focus on, as well as new approaches to implementing the resolution 1325 in relevant ways for the three applying organizations. </w:t>
      </w:r>
    </w:p>
    <w:p w:rsidR="0045179E" w:rsidP="0045179E" w:rsidRDefault="0045179E" w14:paraId="5F76C9FB" w14:textId="77777777">
      <w:pPr>
        <w:jc w:val="both"/>
        <w:rPr>
          <w:rStyle w:val="eop"/>
          <w:rFonts w:cs="Arial"/>
          <w:color w:val="000000" w:themeColor="text1"/>
          <w:lang w:val="en-US"/>
        </w:rPr>
      </w:pPr>
      <w:r w:rsidRPr="0045179E">
        <w:rPr>
          <w:rFonts w:eastAsia="Calibri" w:cs="Arial"/>
          <w:lang w:val="en-US"/>
        </w:rPr>
        <w:t xml:space="preserve">Given alarming trends globally, Oxfam has strengthened its programming and policy work in relation to the Women Peace and Security (WPS) agenda. </w:t>
      </w:r>
      <w:r w:rsidRPr="0045179E">
        <w:rPr>
          <w:rStyle w:val="normaltextrun"/>
          <w:rFonts w:cs="Arial"/>
          <w:color w:val="000000" w:themeColor="text1"/>
          <w:lang w:val="en-US"/>
        </w:rPr>
        <w:t xml:space="preserve">Oxfam’s gender justice programming and policy approach applies across the humanitarian, peace, development nexus. Oxfam promotes gender-transformative changes in crisis and conflict settings through engaging with and supporting women and women’s </w:t>
      </w:r>
      <w:proofErr w:type="spellStart"/>
      <w:r w:rsidRPr="0045179E">
        <w:rPr>
          <w:rStyle w:val="normaltextrun"/>
          <w:rFonts w:cs="Arial"/>
          <w:color w:val="000000" w:themeColor="text1"/>
          <w:lang w:val="en-US"/>
        </w:rPr>
        <w:t>organisations</w:t>
      </w:r>
      <w:proofErr w:type="spellEnd"/>
      <w:r w:rsidRPr="0045179E">
        <w:rPr>
          <w:rStyle w:val="normaltextrun"/>
          <w:rFonts w:cs="Arial"/>
          <w:color w:val="000000" w:themeColor="text1"/>
          <w:lang w:val="en-US"/>
        </w:rPr>
        <w:t xml:space="preserve"> as leaders and change agents to ensure they lead, participate in and benefit from relief and response efforts, as well as longer-term recovery, resilience and peace processes in an equitable, safe and meaningful manner. </w:t>
      </w:r>
      <w:r w:rsidRPr="0045179E">
        <w:rPr>
          <w:rStyle w:val="eop"/>
          <w:rFonts w:cs="Arial"/>
          <w:color w:val="000000" w:themeColor="text1"/>
          <w:lang w:val="en-US"/>
        </w:rPr>
        <w:t> </w:t>
      </w:r>
    </w:p>
    <w:p w:rsidRPr="006F4EA3" w:rsidR="00EC2246" w:rsidP="07693DD5" w:rsidRDefault="722CB157" w14:paraId="61727F47" w14:textId="4926FF06">
      <w:pPr>
        <w:pStyle w:val="Normal"/>
        <w:suppressLineNumbers w:val="0"/>
        <w:bidi w:val="0"/>
        <w:spacing w:before="0" w:beforeAutospacing="off" w:after="160" w:afterAutospacing="off" w:line="259" w:lineRule="auto"/>
        <w:ind w:left="0" w:right="0"/>
        <w:jc w:val="both"/>
        <w:rPr>
          <w:rStyle w:val="normaltextrun"/>
          <w:rFonts w:ascii="Calibri" w:hAnsi="Calibri" w:cs="Calibri"/>
          <w:lang w:val="en-US"/>
        </w:rPr>
      </w:pPr>
      <w:r w:rsidRPr="07693DD5" w:rsidR="07693DD5">
        <w:rPr>
          <w:rFonts w:eastAsia="Calibri" w:cs="Arial"/>
          <w:lang w:val="en-US"/>
        </w:rPr>
        <w:t xml:space="preserve">Oxfam Denmark’s WPS efforts started under the Strategic Partnership (SP) I with the Danish International Development Agency (DANIDA) 2018-2021 </w:t>
      </w:r>
      <w:proofErr w:type="spellStart"/>
      <w:r w:rsidRPr="07693DD5" w:rsidR="07693DD5">
        <w:rPr>
          <w:rFonts w:eastAsia="Calibri" w:cs="Arial"/>
          <w:lang w:val="en-US"/>
        </w:rPr>
        <w:t>programme</w:t>
      </w:r>
      <w:proofErr w:type="spellEnd"/>
      <w:r w:rsidRPr="07693DD5" w:rsidR="07693DD5">
        <w:rPr>
          <w:rFonts w:eastAsia="Calibri" w:cs="Arial"/>
          <w:lang w:val="en-US"/>
        </w:rPr>
        <w:t xml:space="preserve"> with a focus especially on the participation pillar of the four WPS pillars (participation, protection, prevention, and relief &amp; recovery), which showed strong results in relation to locally-led peacebuilding, conflict resolution and prevention by women and youth. In the present DANIDA SP 2022-2025, Oxfam Denmark strengthened its nexus programming (humanitarian, development and peace) and applied a more holistic way of promoting gender justice across the nexus by working with the four pillars of the WPS agenda. </w:t>
      </w:r>
      <w:r w:rsidRPr="07693DD5" w:rsidR="07693DD5">
        <w:rPr>
          <w:rStyle w:val="normaltextrun"/>
          <w:rFonts w:ascii="Calibri" w:hAnsi="Calibri" w:cs="Calibri"/>
          <w:lang w:val="en-US"/>
        </w:rPr>
        <w:t xml:space="preserve">Under the </w:t>
      </w:r>
      <w:proofErr w:type="spellStart"/>
      <w:r w:rsidRPr="07693DD5" w:rsidR="07693DD5">
        <w:rPr>
          <w:rStyle w:val="normaltextrun"/>
          <w:rFonts w:ascii="Calibri" w:hAnsi="Calibri" w:cs="Calibri"/>
          <w:lang w:val="en-US"/>
        </w:rPr>
        <w:t>Danida</w:t>
      </w:r>
      <w:proofErr w:type="spellEnd"/>
      <w:r w:rsidRPr="07693DD5" w:rsidR="07693DD5">
        <w:rPr>
          <w:rStyle w:val="normaltextrun"/>
          <w:rFonts w:ascii="Calibri" w:hAnsi="Calibri" w:cs="Calibri"/>
          <w:lang w:val="en-US"/>
        </w:rPr>
        <w:t xml:space="preserve"> Strategic Partnership II, Oxfam Denmark has strategically committed to ensuring that </w:t>
      </w:r>
      <w:r w:rsidRPr="07693DD5" w:rsidR="07693DD5">
        <w:rPr>
          <w:rStyle w:val="normaltextrun"/>
          <w:rFonts w:ascii="Calibri" w:hAnsi="Calibri" w:cs="Calibri"/>
          <w:i w:val="1"/>
          <w:iCs w:val="1"/>
          <w:lang w:val="en-US"/>
        </w:rPr>
        <w:t>“</w:t>
      </w:r>
      <w:proofErr w:type="spellStart"/>
      <w:r w:rsidRPr="07693DD5" w:rsidR="07693DD5">
        <w:rPr>
          <w:rStyle w:val="normaltextrun"/>
          <w:rFonts w:ascii="Calibri" w:hAnsi="Calibri" w:cs="Calibri"/>
          <w:i w:val="1"/>
          <w:iCs w:val="1"/>
          <w:lang w:val="en-US"/>
        </w:rPr>
        <w:t>Marginalised</w:t>
      </w:r>
      <w:proofErr w:type="spellEnd"/>
      <w:r w:rsidRPr="07693DD5" w:rsidR="07693DD5">
        <w:rPr>
          <w:rStyle w:val="normaltextrun"/>
          <w:rFonts w:ascii="Calibri" w:hAnsi="Calibri" w:cs="Calibri"/>
          <w:i w:val="1"/>
          <w:iCs w:val="1"/>
          <w:lang w:val="en-US"/>
        </w:rPr>
        <w:t xml:space="preserve"> voices, such as young women and women from displaced communities, will be a particular focus for Oxfam Denmark and partners, to ensure their participation in and influence of decision-making spaces including in peacebuilding processes and policy reform processes</w:t>
      </w:r>
      <w:r w:rsidRPr="07693DD5" w:rsidR="07693DD5">
        <w:rPr>
          <w:rStyle w:val="normaltextrun"/>
          <w:rFonts w:ascii="Calibri" w:hAnsi="Calibri" w:cs="Calibri"/>
          <w:lang w:val="en-US"/>
        </w:rPr>
        <w:t xml:space="preserve">.” Two years into the implementation of the SP II, some of the ambitions set towards implementing the WPS agenda, such as focusing on partnering increasingly with local women’s rights and women-led </w:t>
      </w:r>
      <w:proofErr w:type="spellStart"/>
      <w:r w:rsidRPr="07693DD5" w:rsidR="07693DD5">
        <w:rPr>
          <w:rStyle w:val="normaltextrun"/>
          <w:rFonts w:ascii="Calibri" w:hAnsi="Calibri" w:cs="Calibri"/>
          <w:lang w:val="en-US"/>
        </w:rPr>
        <w:t>organisations</w:t>
      </w:r>
      <w:proofErr w:type="spellEnd"/>
      <w:r w:rsidRPr="07693DD5" w:rsidR="07693DD5">
        <w:rPr>
          <w:rStyle w:val="normaltextrun"/>
          <w:rFonts w:ascii="Calibri" w:hAnsi="Calibri" w:cs="Calibri"/>
          <w:lang w:val="en-US"/>
        </w:rPr>
        <w:t xml:space="preserve"> (WROs and WLOs), strengthening women’s participation and influencing work towards decision-making on peace and security, as well as linking this work more strongly with protection from and prevention of all forms of human rights violations, including sexual and gender-based violence in crisis still need to be strengthened further. </w:t>
      </w:r>
    </w:p>
    <w:p w:rsidR="00E045B5" w:rsidP="59C84E19" w:rsidRDefault="59C84E19" w14:paraId="65D9E1A5" w14:textId="0CF4BE85">
      <w:pPr>
        <w:rPr>
          <w:b/>
          <w:bCs/>
          <w:color w:val="538135" w:themeColor="accent6" w:themeShade="BF"/>
          <w:sz w:val="28"/>
          <w:szCs w:val="28"/>
          <w:lang w:val="en-US"/>
        </w:rPr>
      </w:pPr>
      <w:r w:rsidRPr="59C84E19">
        <w:rPr>
          <w:b/>
          <w:bCs/>
          <w:color w:val="538135" w:themeColor="accent6" w:themeShade="BF"/>
          <w:sz w:val="28"/>
          <w:szCs w:val="28"/>
          <w:lang w:val="en-US"/>
        </w:rPr>
        <w:t xml:space="preserve">Nature and scope of the assignment/service </w:t>
      </w:r>
    </w:p>
    <w:p w:rsidRPr="006F4EA3" w:rsidR="00E50590" w:rsidP="00E50590" w:rsidRDefault="00E50590" w14:paraId="05AA8E07" w14:textId="77777777">
      <w:pPr>
        <w:jc w:val="both"/>
        <w:rPr>
          <w:lang w:val="en-US"/>
        </w:rPr>
      </w:pPr>
      <w:r w:rsidRPr="006F4EA3">
        <w:rPr>
          <w:rFonts w:ascii="Calibri" w:hAnsi="Calibri" w:cs="Calibri"/>
          <w:lang w:val="en-US" w:eastAsia="da-DK"/>
        </w:rPr>
        <w:t xml:space="preserve">Women and girls are particularly affected by conflict and violence in Niger, especially in the current context, due to the proliferation of armed conflicts and high levels of criminality, with around 5 out of 8 regions affected. Women and girls living in conflict-affected areas are more exposed to gender-based violence, including sexual violence, rape, forced marriage and domestic abuse. This violence not only affects their well-being, but also limits their full social and economic participation in all spheres of life and society, and ultimately hinders their potential contribution to the promotion of peace and development. Oxfam Niger civil society partners engaged in the WPS </w:t>
      </w:r>
      <w:proofErr w:type="spellStart"/>
      <w:r w:rsidRPr="006F4EA3">
        <w:rPr>
          <w:rFonts w:ascii="Calibri" w:hAnsi="Calibri" w:cs="Calibri"/>
          <w:lang w:val="en-US" w:eastAsia="da-DK"/>
        </w:rPr>
        <w:t>programme</w:t>
      </w:r>
      <w:proofErr w:type="spellEnd"/>
      <w:r w:rsidRPr="006F4EA3">
        <w:rPr>
          <w:rFonts w:ascii="Calibri" w:hAnsi="Calibri" w:cs="Calibri"/>
          <w:lang w:val="en-US" w:eastAsia="da-DK"/>
        </w:rPr>
        <w:t xml:space="preserve"> are facing </w:t>
      </w:r>
      <w:proofErr w:type="gramStart"/>
      <w:r w:rsidRPr="006F4EA3">
        <w:rPr>
          <w:rFonts w:ascii="Calibri" w:hAnsi="Calibri" w:cs="Calibri"/>
          <w:lang w:val="en-US" w:eastAsia="da-DK"/>
        </w:rPr>
        <w:t>a number of</w:t>
      </w:r>
      <w:proofErr w:type="gramEnd"/>
      <w:r w:rsidRPr="006F4EA3">
        <w:rPr>
          <w:rFonts w:ascii="Calibri" w:hAnsi="Calibri" w:cs="Calibri"/>
          <w:lang w:val="en-US" w:eastAsia="da-DK"/>
        </w:rPr>
        <w:t xml:space="preserve"> opportunities and challenges which impact civic movements, initiatives, and coalitions in conflict-affected and fragile settings. In such circumstances, accompanying and providing civil society actors with a safe space for exchange of experiences and lessons learned to build joint strategies for strengthening efforts of influencing and engaging in peacebuilding efforts.</w:t>
      </w:r>
      <w:r w:rsidRPr="006F4EA3">
        <w:rPr>
          <w:lang w:val="en-US"/>
        </w:rPr>
        <w:t xml:space="preserve"> </w:t>
      </w:r>
    </w:p>
    <w:p w:rsidRPr="006F4EA3" w:rsidR="00E50590" w:rsidP="00E50590" w:rsidRDefault="00E50590" w14:paraId="7B1766CD" w14:textId="4ED2A973">
      <w:pPr>
        <w:jc w:val="both"/>
        <w:rPr>
          <w:rStyle w:val="normaltextrun"/>
          <w:rFonts w:ascii="Calibri" w:hAnsi="Calibri" w:cs="Calibri"/>
          <w:lang w:val="en-US"/>
        </w:rPr>
      </w:pPr>
      <w:r w:rsidRPr="006F4EA3">
        <w:rPr>
          <w:lang w:val="en-US"/>
        </w:rPr>
        <w:t>Hence</w:t>
      </w:r>
      <w:r w:rsidRPr="006F4EA3">
        <w:rPr>
          <w:rFonts w:ascii="Calibri" w:hAnsi="Calibri" w:cs="Calibri"/>
          <w:lang w:val="en-US"/>
        </w:rPr>
        <w:t>, Oxfam Denmark</w:t>
      </w:r>
      <w:r w:rsidRPr="006F4EA3">
        <w:rPr>
          <w:rStyle w:val="normaltextrun"/>
          <w:rFonts w:ascii="Calibri" w:hAnsi="Calibri" w:cs="Calibri"/>
          <w:lang w:val="en-US"/>
        </w:rPr>
        <w:t xml:space="preserve"> seeks to </w:t>
      </w:r>
      <w:r w:rsidR="00E047F8">
        <w:rPr>
          <w:rStyle w:val="normaltextrun"/>
          <w:rFonts w:ascii="Calibri" w:hAnsi="Calibri" w:cs="Calibri"/>
          <w:lang w:val="en-US"/>
        </w:rPr>
        <w:t xml:space="preserve">contract a service provider to </w:t>
      </w:r>
      <w:r w:rsidRPr="006F4EA3">
        <w:rPr>
          <w:rStyle w:val="normaltextrun"/>
          <w:rFonts w:ascii="Calibri" w:hAnsi="Calibri" w:cs="Calibri"/>
          <w:lang w:val="en-US"/>
        </w:rPr>
        <w:t>pilot a WPS</w:t>
      </w:r>
      <w:r w:rsidR="00E047F8">
        <w:rPr>
          <w:rStyle w:val="normaltextrun"/>
          <w:rFonts w:ascii="Calibri" w:hAnsi="Calibri" w:cs="Calibri"/>
          <w:lang w:val="en-US"/>
        </w:rPr>
        <w:t xml:space="preserve"> focused</w:t>
      </w:r>
      <w:r w:rsidRPr="006F4EA3">
        <w:rPr>
          <w:rStyle w:val="normaltextrun"/>
          <w:rFonts w:ascii="Calibri" w:hAnsi="Calibri" w:cs="Calibri"/>
          <w:lang w:val="en-US"/>
        </w:rPr>
        <w:t xml:space="preserve"> initiative in Niger focused on strengthening WPS advocacy and alliance-building by WROs/WLOs. This will</w:t>
      </w:r>
      <w:r w:rsidRPr="006F4EA3">
        <w:rPr>
          <w:lang w:val="en-US"/>
        </w:rPr>
        <w:t xml:space="preserve"> focus on accompanying women peacebuilders both individually and collectively in their efforts to engage, influence, and shape peacemaking efforts in Niger.</w:t>
      </w:r>
      <w:r w:rsidRPr="006F4EA3">
        <w:rPr>
          <w:rStyle w:val="normaltextrun"/>
          <w:rFonts w:ascii="Calibri" w:hAnsi="Calibri" w:cs="Calibri"/>
          <w:lang w:val="en-US"/>
        </w:rPr>
        <w:t xml:space="preserve"> </w:t>
      </w:r>
    </w:p>
    <w:p w:rsidRPr="006F4EA3" w:rsidR="00AA5C49" w:rsidP="00E50590" w:rsidRDefault="00AA5C49" w14:paraId="56861196" w14:textId="77777777">
      <w:pPr>
        <w:jc w:val="both"/>
        <w:rPr>
          <w:lang w:val="en-US"/>
        </w:rPr>
      </w:pPr>
    </w:p>
    <w:p w:rsidR="00E045B5" w:rsidP="59C84E19" w:rsidRDefault="59C84E19" w14:paraId="56853A90" w14:textId="77777777">
      <w:pPr>
        <w:rPr>
          <w:b/>
          <w:bCs/>
          <w:color w:val="538135" w:themeColor="accent6" w:themeShade="BF"/>
          <w:sz w:val="28"/>
          <w:szCs w:val="28"/>
          <w:lang w:val="en-US"/>
        </w:rPr>
      </w:pPr>
      <w:r w:rsidRPr="59C84E19">
        <w:rPr>
          <w:b/>
          <w:bCs/>
          <w:color w:val="538135" w:themeColor="accent6" w:themeShade="BF"/>
          <w:sz w:val="28"/>
          <w:szCs w:val="28"/>
          <w:lang w:val="en-US"/>
        </w:rPr>
        <w:t>Methodology</w:t>
      </w:r>
    </w:p>
    <w:p w:rsidRPr="006F4EA3" w:rsidR="00E762F0" w:rsidP="00E762F0" w:rsidRDefault="00E762F0" w14:paraId="4C8D0AA7" w14:textId="2798CBC7">
      <w:pPr>
        <w:rPr>
          <w:b/>
          <w:bCs/>
          <w:color w:val="538135" w:themeColor="accent6" w:themeShade="BF"/>
          <w:lang w:val="en-US"/>
        </w:rPr>
      </w:pPr>
      <w:r w:rsidRPr="006F4EA3">
        <w:rPr>
          <w:rFonts w:ascii="Calibri" w:hAnsi="Calibri" w:cs="Calibri"/>
          <w:lang w:val="en-GB"/>
        </w:rPr>
        <w:t xml:space="preserve">The methodology for the WPS pilot initiative in Niger would combine the following elements: </w:t>
      </w:r>
    </w:p>
    <w:p w:rsidRPr="006F4EA3" w:rsidR="00E045B5" w:rsidP="00E045B5" w:rsidRDefault="00E045B5" w14:paraId="19194B7B" w14:textId="621FF13D">
      <w:pPr>
        <w:numPr>
          <w:ilvl w:val="0"/>
          <w:numId w:val="16"/>
        </w:numPr>
        <w:spacing w:after="0" w:line="276" w:lineRule="auto"/>
        <w:jc w:val="both"/>
        <w:rPr>
          <w:lang w:val="en-US"/>
        </w:rPr>
      </w:pPr>
      <w:r w:rsidRPr="006F4EA3">
        <w:rPr>
          <w:u w:val="single"/>
          <w:lang w:val="en-US"/>
        </w:rPr>
        <w:t xml:space="preserve">In-person workshops </w:t>
      </w:r>
      <w:r w:rsidRPr="006F4EA3" w:rsidR="00E762F0">
        <w:rPr>
          <w:u w:val="single"/>
          <w:lang w:val="en-US"/>
        </w:rPr>
        <w:t>in Niger with Oxfam staff and partners:</w:t>
      </w:r>
      <w:r w:rsidRPr="006F4EA3" w:rsidR="00E762F0">
        <w:rPr>
          <w:lang w:val="en-US"/>
        </w:rPr>
        <w:t xml:space="preserve"> These </w:t>
      </w:r>
      <w:r w:rsidRPr="006F4EA3">
        <w:rPr>
          <w:lang w:val="en-US"/>
        </w:rPr>
        <w:t xml:space="preserve">would seek to take stock of civil society perspectives of the opportunities, challenges, and entry points pertaining to </w:t>
      </w:r>
      <w:r w:rsidRPr="006F4EA3" w:rsidR="00E762F0">
        <w:rPr>
          <w:lang w:val="en-US"/>
        </w:rPr>
        <w:t xml:space="preserve">CSO influencing of the WPS agenda in Niger and </w:t>
      </w:r>
      <w:r w:rsidRPr="006F4EA3">
        <w:rPr>
          <w:lang w:val="en-US"/>
        </w:rPr>
        <w:t xml:space="preserve">perceptions regarding </w:t>
      </w:r>
      <w:r w:rsidRPr="006F4EA3" w:rsidR="00E762F0">
        <w:rPr>
          <w:lang w:val="en-US"/>
        </w:rPr>
        <w:t xml:space="preserve">potential for alliance building and collective strategies. </w:t>
      </w:r>
    </w:p>
    <w:p w:rsidRPr="006F4EA3" w:rsidR="003E421F" w:rsidP="00E045B5" w:rsidRDefault="00E762F0" w14:paraId="7EE16FF3" w14:textId="7AD7D5B0">
      <w:pPr>
        <w:numPr>
          <w:ilvl w:val="0"/>
          <w:numId w:val="16"/>
        </w:numPr>
        <w:spacing w:after="0" w:line="276" w:lineRule="auto"/>
        <w:jc w:val="both"/>
        <w:rPr>
          <w:lang w:val="en-US"/>
        </w:rPr>
      </w:pPr>
      <w:r w:rsidRPr="006F4EA3">
        <w:rPr>
          <w:u w:val="single"/>
          <w:lang w:val="en-US"/>
        </w:rPr>
        <w:t>Remote accompaniment support</w:t>
      </w:r>
      <w:r w:rsidRPr="006F4EA3" w:rsidR="003E421F">
        <w:rPr>
          <w:u w:val="single"/>
          <w:lang w:val="en-US"/>
        </w:rPr>
        <w:t xml:space="preserve"> and online peer exchanges</w:t>
      </w:r>
      <w:r w:rsidRPr="006F4EA3">
        <w:rPr>
          <w:u w:val="single"/>
          <w:lang w:val="en-US"/>
        </w:rPr>
        <w:t>:</w:t>
      </w:r>
      <w:r w:rsidRPr="006F4EA3">
        <w:rPr>
          <w:lang w:val="en-US"/>
        </w:rPr>
        <w:t xml:space="preserve"> Regular follow-up </w:t>
      </w:r>
      <w:r w:rsidRPr="006F4EA3" w:rsidR="003E421F">
        <w:rPr>
          <w:lang w:val="en-US"/>
        </w:rPr>
        <w:t>calls and peer-</w:t>
      </w:r>
      <w:proofErr w:type="spellStart"/>
      <w:r w:rsidRPr="006F4EA3" w:rsidR="003E421F">
        <w:rPr>
          <w:lang w:val="en-US"/>
        </w:rPr>
        <w:t>exhanges</w:t>
      </w:r>
      <w:proofErr w:type="spellEnd"/>
      <w:r w:rsidRPr="006F4EA3" w:rsidR="003E421F">
        <w:rPr>
          <w:lang w:val="en-US"/>
        </w:rPr>
        <w:t xml:space="preserve"> </w:t>
      </w:r>
      <w:r w:rsidRPr="006F4EA3">
        <w:rPr>
          <w:lang w:val="en-US"/>
        </w:rPr>
        <w:t>on identified action points</w:t>
      </w:r>
      <w:r w:rsidRPr="006F4EA3" w:rsidR="003E421F">
        <w:rPr>
          <w:lang w:val="en-US"/>
        </w:rPr>
        <w:t xml:space="preserve"> and key contextual/thematic issues </w:t>
      </w:r>
      <w:r w:rsidRPr="006F4EA3">
        <w:rPr>
          <w:lang w:val="en-US"/>
        </w:rPr>
        <w:t xml:space="preserve">agreed to during in-person workshops. </w:t>
      </w:r>
    </w:p>
    <w:p w:rsidRPr="006F4EA3" w:rsidR="00E045B5" w:rsidP="00E045B5" w:rsidRDefault="003E421F" w14:paraId="7A7166DA" w14:textId="1F0C49E8">
      <w:pPr>
        <w:numPr>
          <w:ilvl w:val="0"/>
          <w:numId w:val="16"/>
        </w:numPr>
        <w:spacing w:after="0" w:line="276" w:lineRule="auto"/>
        <w:jc w:val="both"/>
        <w:rPr>
          <w:lang w:val="en-US"/>
        </w:rPr>
      </w:pPr>
      <w:r w:rsidRPr="006F4EA3">
        <w:rPr>
          <w:u w:val="single"/>
          <w:lang w:val="en-US"/>
        </w:rPr>
        <w:t xml:space="preserve">Production of learning products: </w:t>
      </w:r>
      <w:r w:rsidRPr="006F4EA3">
        <w:rPr>
          <w:lang w:val="en-US"/>
        </w:rPr>
        <w:t>these would outline</w:t>
      </w:r>
      <w:r w:rsidRPr="006F4EA3" w:rsidR="00E045B5">
        <w:rPr>
          <w:lang w:val="en-US"/>
        </w:rPr>
        <w:t xml:space="preserve"> lessons learned and recommendations for partners to consider in relation to specific issues or topics identified through the workshops and/or </w:t>
      </w:r>
      <w:r w:rsidRPr="006F4EA3">
        <w:rPr>
          <w:lang w:val="en-US"/>
        </w:rPr>
        <w:t>remote support and online peer-exchanges</w:t>
      </w:r>
      <w:r w:rsidRPr="006F4EA3" w:rsidR="00E045B5">
        <w:rPr>
          <w:lang w:val="en-US"/>
        </w:rPr>
        <w:t>.</w:t>
      </w:r>
    </w:p>
    <w:p w:rsidRPr="00E045B5" w:rsidR="00E045B5" w:rsidP="00E045B5" w:rsidRDefault="00E045B5" w14:paraId="38A21FDA" w14:textId="77777777">
      <w:pPr>
        <w:pStyle w:val="Listeafsnit"/>
        <w:rPr>
          <w:b/>
          <w:bCs/>
          <w:color w:val="538135" w:themeColor="accent6" w:themeShade="BF"/>
          <w:sz w:val="28"/>
          <w:szCs w:val="28"/>
          <w:lang w:val="en-US"/>
        </w:rPr>
      </w:pPr>
    </w:p>
    <w:p w:rsidR="00E045B5" w:rsidP="59C84E19" w:rsidRDefault="59C84E19" w14:paraId="068206DA" w14:textId="77E6CCEA">
      <w:pPr>
        <w:rPr>
          <w:b/>
          <w:bCs/>
          <w:color w:val="538135" w:themeColor="accent6" w:themeShade="BF"/>
          <w:sz w:val="28"/>
          <w:szCs w:val="28"/>
          <w:lang w:val="en-US"/>
        </w:rPr>
      </w:pPr>
      <w:r w:rsidRPr="59C84E19">
        <w:rPr>
          <w:b/>
          <w:bCs/>
          <w:color w:val="538135" w:themeColor="accent6" w:themeShade="BF"/>
          <w:sz w:val="28"/>
          <w:szCs w:val="28"/>
          <w:lang w:val="en-US"/>
        </w:rPr>
        <w:t>Deliverables, timetable and budget</w:t>
      </w:r>
    </w:p>
    <w:p w:rsidRPr="006F4EA3" w:rsidR="00616EC5" w:rsidP="2575B3B7" w:rsidRDefault="2575B3B7" w14:paraId="427E8737" w14:textId="3A0329EE">
      <w:pPr>
        <w:jc w:val="both"/>
        <w:rPr>
          <w:rFonts w:ascii="Calibri" w:hAnsi="Calibri" w:cs="Calibri"/>
          <w:u w:val="single"/>
          <w:lang w:val="en-US"/>
        </w:rPr>
      </w:pPr>
      <w:r w:rsidRPr="2575B3B7">
        <w:rPr>
          <w:rStyle w:val="normaltextrun"/>
          <w:rFonts w:ascii="Calibri" w:hAnsi="Calibri" w:cs="Calibri"/>
          <w:lang w:val="en-US"/>
        </w:rPr>
        <w:t xml:space="preserve">The assignment must be completed within </w:t>
      </w:r>
      <w:r w:rsidR="00E047F8">
        <w:rPr>
          <w:rStyle w:val="normaltextrun"/>
          <w:rFonts w:ascii="Calibri" w:hAnsi="Calibri" w:cs="Calibri"/>
          <w:lang w:val="en-US"/>
        </w:rPr>
        <w:t>34</w:t>
      </w:r>
      <w:r w:rsidRPr="2575B3B7">
        <w:rPr>
          <w:rStyle w:val="normaltextrun"/>
          <w:rFonts w:ascii="Calibri" w:hAnsi="Calibri" w:cs="Calibri"/>
          <w:lang w:val="en-US"/>
        </w:rPr>
        <w:t xml:space="preserve"> days over a 12 month period (1</w:t>
      </w:r>
      <w:r w:rsidRPr="2575B3B7">
        <w:rPr>
          <w:rStyle w:val="normaltextrun"/>
          <w:rFonts w:ascii="Calibri" w:hAnsi="Calibri" w:cs="Calibri"/>
          <w:vertAlign w:val="superscript"/>
          <w:lang w:val="en-US"/>
        </w:rPr>
        <w:t>st</w:t>
      </w:r>
      <w:r w:rsidRPr="2575B3B7">
        <w:rPr>
          <w:rStyle w:val="normaltextrun"/>
          <w:rFonts w:ascii="Calibri" w:hAnsi="Calibri" w:cs="Calibri"/>
          <w:lang w:val="en-US"/>
        </w:rPr>
        <w:t xml:space="preserve"> </w:t>
      </w:r>
      <w:r w:rsidR="00E047F8">
        <w:rPr>
          <w:rStyle w:val="normaltextrun"/>
          <w:rFonts w:ascii="Calibri" w:hAnsi="Calibri" w:cs="Calibri"/>
          <w:lang w:val="en-US"/>
        </w:rPr>
        <w:t>October</w:t>
      </w:r>
      <w:r w:rsidRPr="2575B3B7">
        <w:rPr>
          <w:rStyle w:val="normaltextrun"/>
          <w:rFonts w:ascii="Calibri" w:hAnsi="Calibri" w:cs="Calibri"/>
          <w:lang w:val="en-US"/>
        </w:rPr>
        <w:t xml:space="preserve"> 2024 – 3</w:t>
      </w:r>
      <w:r w:rsidR="00E047F8">
        <w:rPr>
          <w:rStyle w:val="normaltextrun"/>
          <w:rFonts w:ascii="Calibri" w:hAnsi="Calibri" w:cs="Calibri"/>
          <w:lang w:val="en-US"/>
        </w:rPr>
        <w:t>1</w:t>
      </w:r>
      <w:proofErr w:type="gramStart"/>
      <w:r w:rsidRPr="00E047F8" w:rsidR="00E047F8">
        <w:rPr>
          <w:rStyle w:val="normaltextrun"/>
          <w:rFonts w:ascii="Calibri" w:hAnsi="Calibri" w:cs="Calibri"/>
          <w:vertAlign w:val="superscript"/>
          <w:lang w:val="en-US"/>
        </w:rPr>
        <w:t>st</w:t>
      </w:r>
      <w:r w:rsidR="00E047F8">
        <w:rPr>
          <w:rStyle w:val="normaltextrun"/>
          <w:rFonts w:ascii="Calibri" w:hAnsi="Calibri" w:cs="Calibri"/>
          <w:lang w:val="en-US"/>
        </w:rPr>
        <w:t xml:space="preserve"> </w:t>
      </w:r>
      <w:r w:rsidRPr="2575B3B7">
        <w:rPr>
          <w:rStyle w:val="normaltextrun"/>
          <w:rFonts w:ascii="Calibri" w:hAnsi="Calibri" w:cs="Calibri"/>
          <w:lang w:val="en-US"/>
        </w:rPr>
        <w:t xml:space="preserve"> September</w:t>
      </w:r>
      <w:proofErr w:type="gramEnd"/>
      <w:r w:rsidRPr="2575B3B7">
        <w:rPr>
          <w:rStyle w:val="normaltextrun"/>
          <w:rFonts w:ascii="Calibri" w:hAnsi="Calibri" w:cs="Calibri"/>
          <w:lang w:val="en-US"/>
        </w:rPr>
        <w:t xml:space="preserve"> 2025) as per below:</w:t>
      </w:r>
    </w:p>
    <w:p w:rsidRPr="006F4EA3" w:rsidR="003E421F" w:rsidP="003E421F" w:rsidRDefault="003E421F" w14:paraId="64980E7E" w14:textId="1C2B351E">
      <w:pPr>
        <w:jc w:val="both"/>
        <w:rPr>
          <w:rFonts w:ascii="Calibri" w:hAnsi="Calibri" w:cs="Calibri"/>
          <w:u w:val="single"/>
          <w:lang w:val="en-GB"/>
        </w:rPr>
      </w:pPr>
    </w:p>
    <w:tbl>
      <w:tblPr>
        <w:tblStyle w:val="Gittertabel4-farve61"/>
        <w:tblW w:w="9750" w:type="dxa"/>
        <w:tblInd w:w="-113" w:type="dxa"/>
        <w:tblLook w:val="06A0" w:firstRow="1" w:lastRow="0" w:firstColumn="1" w:lastColumn="0" w:noHBand="1" w:noVBand="1"/>
      </w:tblPr>
      <w:tblGrid>
        <w:gridCol w:w="900"/>
        <w:gridCol w:w="2610"/>
        <w:gridCol w:w="2292"/>
        <w:gridCol w:w="3948"/>
      </w:tblGrid>
      <w:tr w:rsidRPr="006F4EA3" w:rsidR="00A73D7D" w:rsidTr="3961D38A" w14:paraId="20543947" w14:textId="77777777">
        <w:trPr>
          <w:cnfStyle w:val="100000000000" w:firstRow="1" w:lastRow="0" w:firstColumn="0" w:lastColumn="0" w:oddVBand="0" w:evenVBand="0" w:oddHBand="0"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900" w:type="dxa"/>
          </w:tcPr>
          <w:p w:rsidR="2DA98FB8" w:rsidP="2DA98FB8" w:rsidRDefault="2DA98FB8" w14:paraId="6B9952A6" w14:textId="759BCD85">
            <w:pPr>
              <w:rPr>
                <w:lang w:val="en-US"/>
              </w:rPr>
            </w:pPr>
          </w:p>
        </w:tc>
        <w:tc>
          <w:tcPr>
            <w:tcW w:w="2610" w:type="dxa"/>
          </w:tcPr>
          <w:p w:rsidRPr="006F4EA3" w:rsidR="00A73D7D" w:rsidP="0063708F" w:rsidRDefault="00A73D7D" w14:paraId="334ABBD0" w14:textId="77777777">
            <w:pPr>
              <w:cnfStyle w:val="100000000000" w:firstRow="1" w:lastRow="0" w:firstColumn="0" w:lastColumn="0" w:oddVBand="0" w:evenVBand="0" w:oddHBand="0" w:evenHBand="0" w:firstRowFirstColumn="0" w:firstRowLastColumn="0" w:lastRowFirstColumn="0" w:lastRowLastColumn="0"/>
              <w:rPr>
                <w:lang w:val="en-US"/>
              </w:rPr>
            </w:pPr>
            <w:r w:rsidRPr="006F4EA3">
              <w:rPr>
                <w:lang w:val="en-US"/>
              </w:rPr>
              <w:t>Deliverable</w:t>
            </w:r>
          </w:p>
        </w:tc>
        <w:tc>
          <w:tcPr>
            <w:tcW w:w="2292" w:type="dxa"/>
          </w:tcPr>
          <w:p w:rsidRPr="006F4EA3" w:rsidR="00A73D7D" w:rsidP="0063708F" w:rsidRDefault="00A73D7D" w14:paraId="5513EE8E" w14:textId="77777777">
            <w:pPr>
              <w:cnfStyle w:val="100000000000" w:firstRow="1" w:lastRow="0" w:firstColumn="0" w:lastColumn="0" w:oddVBand="0" w:evenVBand="0" w:oddHBand="0" w:evenHBand="0" w:firstRowFirstColumn="0" w:firstRowLastColumn="0" w:lastRowFirstColumn="0" w:lastRowLastColumn="0"/>
              <w:rPr>
                <w:lang w:val="en-US"/>
              </w:rPr>
            </w:pPr>
            <w:r w:rsidRPr="006F4EA3">
              <w:rPr>
                <w:lang w:val="en-US"/>
              </w:rPr>
              <w:t>Details</w:t>
            </w:r>
          </w:p>
        </w:tc>
        <w:tc>
          <w:tcPr>
            <w:tcW w:w="3948" w:type="dxa"/>
          </w:tcPr>
          <w:p w:rsidRPr="006F4EA3" w:rsidR="00A73D7D" w:rsidP="0063708F" w:rsidRDefault="00A73D7D" w14:paraId="78B3AF2D" w14:textId="77777777">
            <w:pPr>
              <w:cnfStyle w:val="100000000000" w:firstRow="1" w:lastRow="0" w:firstColumn="0" w:lastColumn="0" w:oddVBand="0" w:evenVBand="0" w:oddHBand="0" w:evenHBand="0" w:firstRowFirstColumn="0" w:firstRowLastColumn="0" w:lastRowFirstColumn="0" w:lastRowLastColumn="0"/>
              <w:rPr>
                <w:lang w:val="en-US"/>
              </w:rPr>
            </w:pPr>
            <w:r w:rsidRPr="006F4EA3">
              <w:rPr>
                <w:lang w:val="en-US"/>
              </w:rPr>
              <w:t>timeframe</w:t>
            </w:r>
          </w:p>
        </w:tc>
      </w:tr>
      <w:tr w:rsidRPr="006F4EA3" w:rsidR="00A73D7D" w:rsidTr="3961D38A" w14:paraId="41D65A76" w14:textId="77777777">
        <w:trPr>
          <w:trHeight w:val="289"/>
        </w:trPr>
        <w:tc>
          <w:tcPr>
            <w:cnfStyle w:val="001000000000" w:firstRow="0" w:lastRow="0" w:firstColumn="1" w:lastColumn="0" w:oddVBand="0" w:evenVBand="0" w:oddHBand="0" w:evenHBand="0" w:firstRowFirstColumn="0" w:firstRowLastColumn="0" w:lastRowFirstColumn="0" w:lastRowLastColumn="0"/>
            <w:tcW w:w="900" w:type="dxa"/>
          </w:tcPr>
          <w:p w:rsidR="2DA98FB8" w:rsidP="2DA98FB8" w:rsidRDefault="004A7576" w14:paraId="436F3C59" w14:textId="1A4D0B24">
            <w:pPr>
              <w:rPr>
                <w:lang w:val="en-US"/>
              </w:rPr>
            </w:pPr>
            <w:r>
              <w:rPr>
                <w:lang w:val="en-US"/>
              </w:rPr>
              <w:t>1</w:t>
            </w:r>
            <w:r w:rsidRPr="3961D38A" w:rsidR="3961D38A">
              <w:rPr>
                <w:lang w:val="en-US"/>
              </w:rPr>
              <w:t>.a</w:t>
            </w:r>
          </w:p>
        </w:tc>
        <w:tc>
          <w:tcPr>
            <w:tcW w:w="2610" w:type="dxa"/>
          </w:tcPr>
          <w:p w:rsidRPr="006F4EA3" w:rsidR="00A73D7D" w:rsidP="0063708F" w:rsidRDefault="00A73D7D" w14:paraId="5A2609DF" w14:textId="77777777">
            <w:pPr>
              <w:cnfStyle w:val="000000000000" w:firstRow="0" w:lastRow="0" w:firstColumn="0" w:lastColumn="0" w:oddVBand="0" w:evenVBand="0" w:oddHBand="0" w:evenHBand="0" w:firstRowFirstColumn="0" w:firstRowLastColumn="0" w:lastRowFirstColumn="0" w:lastRowLastColumn="0"/>
              <w:rPr>
                <w:lang w:val="en-US"/>
              </w:rPr>
            </w:pPr>
            <w:r w:rsidRPr="006F4EA3">
              <w:rPr>
                <w:lang w:val="en-US"/>
              </w:rPr>
              <w:t>Desk Review</w:t>
            </w:r>
          </w:p>
        </w:tc>
        <w:tc>
          <w:tcPr>
            <w:tcW w:w="2292" w:type="dxa"/>
          </w:tcPr>
          <w:p w:rsidRPr="006F4EA3" w:rsidR="00A73D7D" w:rsidP="0063708F" w:rsidRDefault="00A73D7D" w14:paraId="005588E2" w14:textId="77777777">
            <w:pPr>
              <w:cnfStyle w:val="000000000000" w:firstRow="0" w:lastRow="0" w:firstColumn="0" w:lastColumn="0" w:oddVBand="0" w:evenVBand="0" w:oddHBand="0" w:evenHBand="0" w:firstRowFirstColumn="0" w:firstRowLastColumn="0" w:lastRowFirstColumn="0" w:lastRowLastColumn="0"/>
              <w:rPr>
                <w:lang w:val="en-US"/>
              </w:rPr>
            </w:pPr>
            <w:r w:rsidRPr="006F4EA3">
              <w:rPr>
                <w:lang w:val="en-US"/>
              </w:rPr>
              <w:t xml:space="preserve">Summary analysis of Oxfam and partner documents (progress reports, tools, analyses/assessments, case studies, evaluations, etc.) </w:t>
            </w:r>
          </w:p>
        </w:tc>
        <w:tc>
          <w:tcPr>
            <w:tcW w:w="3948" w:type="dxa"/>
          </w:tcPr>
          <w:p w:rsidRPr="006F4EA3" w:rsidR="00A73D7D" w:rsidP="0063708F" w:rsidRDefault="00A73D7D" w14:paraId="6C70E38C" w14:textId="77777777">
            <w:pPr>
              <w:cnfStyle w:val="000000000000" w:firstRow="0" w:lastRow="0" w:firstColumn="0" w:lastColumn="0" w:oddVBand="0" w:evenVBand="0" w:oddHBand="0" w:evenHBand="0" w:firstRowFirstColumn="0" w:firstRowLastColumn="0" w:lastRowFirstColumn="0" w:lastRowLastColumn="0"/>
              <w:rPr>
                <w:lang w:val="en-US"/>
              </w:rPr>
            </w:pPr>
            <w:r w:rsidRPr="006F4EA3">
              <w:rPr>
                <w:lang w:val="en-US"/>
              </w:rPr>
              <w:t>3 days</w:t>
            </w:r>
          </w:p>
        </w:tc>
      </w:tr>
      <w:tr w:rsidRPr="006F4EA3" w:rsidR="00A73D7D" w:rsidTr="3961D38A" w14:paraId="439F0375" w14:textId="77777777">
        <w:trPr>
          <w:trHeight w:val="289"/>
        </w:trPr>
        <w:tc>
          <w:tcPr>
            <w:cnfStyle w:val="001000000000" w:firstRow="0" w:lastRow="0" w:firstColumn="1" w:lastColumn="0" w:oddVBand="0" w:evenVBand="0" w:oddHBand="0" w:evenHBand="0" w:firstRowFirstColumn="0" w:firstRowLastColumn="0" w:lastRowFirstColumn="0" w:lastRowLastColumn="0"/>
            <w:tcW w:w="900" w:type="dxa"/>
          </w:tcPr>
          <w:p w:rsidR="2DA98FB8" w:rsidP="2DA98FB8" w:rsidRDefault="004A7576" w14:paraId="293F9FC0" w14:textId="5F9BF4D4">
            <w:pPr>
              <w:rPr>
                <w:lang w:val="en-US"/>
              </w:rPr>
            </w:pPr>
            <w:r>
              <w:rPr>
                <w:lang w:val="en-US"/>
              </w:rPr>
              <w:t>1</w:t>
            </w:r>
            <w:r w:rsidRPr="3961D38A" w:rsidR="3961D38A">
              <w:rPr>
                <w:lang w:val="en-US"/>
              </w:rPr>
              <w:t>.b</w:t>
            </w:r>
          </w:p>
        </w:tc>
        <w:tc>
          <w:tcPr>
            <w:tcW w:w="2610" w:type="dxa"/>
          </w:tcPr>
          <w:p w:rsidRPr="006F4EA3" w:rsidR="00A73D7D" w:rsidP="0063708F" w:rsidRDefault="00A73D7D" w14:paraId="5759389B" w14:textId="7500284C">
            <w:pPr>
              <w:cnfStyle w:val="000000000000" w:firstRow="0" w:lastRow="0" w:firstColumn="0" w:lastColumn="0" w:oddVBand="0" w:evenVBand="0" w:oddHBand="0" w:evenHBand="0" w:firstRowFirstColumn="0" w:firstRowLastColumn="0" w:lastRowFirstColumn="0" w:lastRowLastColumn="0"/>
              <w:rPr>
                <w:lang w:val="en-US"/>
              </w:rPr>
            </w:pPr>
            <w:r w:rsidRPr="006F4EA3">
              <w:rPr>
                <w:lang w:val="en-US"/>
              </w:rPr>
              <w:t xml:space="preserve">Methodology Plan for </w:t>
            </w:r>
            <w:r w:rsidRPr="006F4EA3" w:rsidR="00513695">
              <w:rPr>
                <w:lang w:val="en-US"/>
              </w:rPr>
              <w:t>Workshops and Accompaniment support</w:t>
            </w:r>
          </w:p>
        </w:tc>
        <w:tc>
          <w:tcPr>
            <w:tcW w:w="2292" w:type="dxa"/>
          </w:tcPr>
          <w:p w:rsidRPr="006F4EA3" w:rsidR="00A73D7D" w:rsidP="0063708F" w:rsidRDefault="00A73D7D" w14:paraId="14DD870D" w14:textId="664EB845">
            <w:pPr>
              <w:cnfStyle w:val="000000000000" w:firstRow="0" w:lastRow="0" w:firstColumn="0" w:lastColumn="0" w:oddVBand="0" w:evenVBand="0" w:oddHBand="0" w:evenHBand="0" w:firstRowFirstColumn="0" w:firstRowLastColumn="0" w:lastRowFirstColumn="0" w:lastRowLastColumn="0"/>
              <w:rPr>
                <w:lang w:val="en-US"/>
              </w:rPr>
            </w:pPr>
            <w:r w:rsidRPr="006F4EA3">
              <w:rPr>
                <w:lang w:val="en-US"/>
              </w:rPr>
              <w:t>Overview of approach</w:t>
            </w:r>
            <w:r w:rsidRPr="006F4EA3" w:rsidR="00513695">
              <w:rPr>
                <w:lang w:val="en-US"/>
              </w:rPr>
              <w:t>es, tools, expected outcome</w:t>
            </w:r>
          </w:p>
        </w:tc>
        <w:tc>
          <w:tcPr>
            <w:tcW w:w="3948" w:type="dxa"/>
          </w:tcPr>
          <w:p w:rsidRPr="006F4EA3" w:rsidR="00A73D7D" w:rsidP="0063708F" w:rsidRDefault="00A73D7D" w14:paraId="1192B10D" w14:textId="77777777">
            <w:pPr>
              <w:cnfStyle w:val="000000000000" w:firstRow="0" w:lastRow="0" w:firstColumn="0" w:lastColumn="0" w:oddVBand="0" w:evenVBand="0" w:oddHBand="0" w:evenHBand="0" w:firstRowFirstColumn="0" w:firstRowLastColumn="0" w:lastRowFirstColumn="0" w:lastRowLastColumn="0"/>
              <w:rPr>
                <w:lang w:val="en-US"/>
              </w:rPr>
            </w:pPr>
            <w:r w:rsidRPr="006F4EA3">
              <w:rPr>
                <w:lang w:val="en-US"/>
              </w:rPr>
              <w:t>2 days</w:t>
            </w:r>
          </w:p>
        </w:tc>
      </w:tr>
      <w:tr w:rsidRPr="006F4EA3" w:rsidR="00A73D7D" w:rsidTr="3961D38A" w14:paraId="3E0819BE" w14:textId="77777777">
        <w:trPr>
          <w:trHeight w:val="300"/>
        </w:trPr>
        <w:tc>
          <w:tcPr>
            <w:cnfStyle w:val="001000000000" w:firstRow="0" w:lastRow="0" w:firstColumn="1" w:lastColumn="0" w:oddVBand="0" w:evenVBand="0" w:oddHBand="0" w:evenHBand="0" w:firstRowFirstColumn="0" w:firstRowLastColumn="0" w:lastRowFirstColumn="0" w:lastRowLastColumn="0"/>
            <w:tcW w:w="900" w:type="dxa"/>
          </w:tcPr>
          <w:p w:rsidR="2DA98FB8" w:rsidP="2DA98FB8" w:rsidRDefault="004A7576" w14:paraId="158CFD89" w14:textId="5F83C2A5">
            <w:pPr>
              <w:rPr>
                <w:lang w:val="en-US"/>
              </w:rPr>
            </w:pPr>
            <w:r>
              <w:rPr>
                <w:lang w:val="en-US"/>
              </w:rPr>
              <w:t>1</w:t>
            </w:r>
            <w:r w:rsidRPr="3961D38A" w:rsidR="3961D38A">
              <w:rPr>
                <w:lang w:val="en-US"/>
              </w:rPr>
              <w:t>.c</w:t>
            </w:r>
          </w:p>
        </w:tc>
        <w:tc>
          <w:tcPr>
            <w:tcW w:w="2610" w:type="dxa"/>
          </w:tcPr>
          <w:p w:rsidRPr="006F4EA3" w:rsidR="00513695" w:rsidP="00513695" w:rsidRDefault="00513695" w14:paraId="7604ADA4" w14:textId="57960185">
            <w:pPr>
              <w:cnfStyle w:val="000000000000" w:firstRow="0" w:lastRow="0" w:firstColumn="0" w:lastColumn="0" w:oddVBand="0" w:evenVBand="0" w:oddHBand="0" w:evenHBand="0" w:firstRowFirstColumn="0" w:firstRowLastColumn="0" w:lastRowFirstColumn="0" w:lastRowLastColumn="0"/>
              <w:rPr>
                <w:lang w:val="en-US"/>
              </w:rPr>
            </w:pPr>
            <w:r w:rsidRPr="006F4EA3">
              <w:rPr>
                <w:lang w:val="en-US"/>
              </w:rPr>
              <w:t>In-person workshops in Niger with Oxfam staff and partners</w:t>
            </w:r>
          </w:p>
          <w:p w:rsidRPr="006F4EA3" w:rsidR="00A73D7D" w:rsidP="00513695" w:rsidRDefault="00A73D7D" w14:paraId="46548123" w14:textId="1B06017A">
            <w:pPr>
              <w:cnfStyle w:val="000000000000" w:firstRow="0" w:lastRow="0" w:firstColumn="0" w:lastColumn="0" w:oddVBand="0" w:evenVBand="0" w:oddHBand="0" w:evenHBand="0" w:firstRowFirstColumn="0" w:firstRowLastColumn="0" w:lastRowFirstColumn="0" w:lastRowLastColumn="0"/>
              <w:rPr>
                <w:lang w:val="en-US"/>
              </w:rPr>
            </w:pPr>
          </w:p>
        </w:tc>
        <w:tc>
          <w:tcPr>
            <w:tcW w:w="2292" w:type="dxa"/>
          </w:tcPr>
          <w:p w:rsidRPr="006F4EA3" w:rsidR="00A73D7D" w:rsidP="0063708F" w:rsidRDefault="00513695" w14:paraId="2F28EF68" w14:textId="3AF016A5">
            <w:pPr>
              <w:cnfStyle w:val="000000000000" w:firstRow="0" w:lastRow="0" w:firstColumn="0" w:lastColumn="0" w:oddVBand="0" w:evenVBand="0" w:oddHBand="0" w:evenHBand="0" w:firstRowFirstColumn="0" w:firstRowLastColumn="0" w:lastRowFirstColumn="0" w:lastRowLastColumn="0"/>
              <w:rPr>
                <w:lang w:val="en-US"/>
              </w:rPr>
            </w:pPr>
            <w:r w:rsidRPr="006F4EA3">
              <w:rPr>
                <w:lang w:val="en-US"/>
              </w:rPr>
              <w:t>One in-person workshop with identified stakeholders based on agreed methodology plan</w:t>
            </w:r>
          </w:p>
        </w:tc>
        <w:tc>
          <w:tcPr>
            <w:tcW w:w="3948" w:type="dxa"/>
          </w:tcPr>
          <w:p w:rsidRPr="006F4EA3" w:rsidR="00A73D7D" w:rsidP="0063708F" w:rsidRDefault="00A73D7D" w14:paraId="507545EB" w14:textId="4C82F0B1">
            <w:pPr>
              <w:cnfStyle w:val="000000000000" w:firstRow="0" w:lastRow="0" w:firstColumn="0" w:lastColumn="0" w:oddVBand="0" w:evenVBand="0" w:oddHBand="0" w:evenHBand="0" w:firstRowFirstColumn="0" w:firstRowLastColumn="0" w:lastRowFirstColumn="0" w:lastRowLastColumn="0"/>
              <w:rPr>
                <w:lang w:val="en-US"/>
              </w:rPr>
            </w:pPr>
            <w:r w:rsidRPr="006F4EA3">
              <w:rPr>
                <w:lang w:val="en-US"/>
              </w:rPr>
              <w:t xml:space="preserve">5 days </w:t>
            </w:r>
          </w:p>
        </w:tc>
      </w:tr>
      <w:tr w:rsidRPr="006F4EA3" w:rsidR="00513695" w:rsidTr="3961D38A" w14:paraId="42FF6D2C" w14:textId="77777777">
        <w:trPr>
          <w:trHeight w:val="300"/>
        </w:trPr>
        <w:tc>
          <w:tcPr>
            <w:cnfStyle w:val="001000000000" w:firstRow="0" w:lastRow="0" w:firstColumn="1" w:lastColumn="0" w:oddVBand="0" w:evenVBand="0" w:oddHBand="0" w:evenHBand="0" w:firstRowFirstColumn="0" w:firstRowLastColumn="0" w:lastRowFirstColumn="0" w:lastRowLastColumn="0"/>
            <w:tcW w:w="900" w:type="dxa"/>
          </w:tcPr>
          <w:p w:rsidR="2DA98FB8" w:rsidP="2DA98FB8" w:rsidRDefault="004A7576" w14:paraId="51437873" w14:textId="10336D9B">
            <w:pPr>
              <w:rPr>
                <w:lang w:val="en-US"/>
              </w:rPr>
            </w:pPr>
            <w:r>
              <w:rPr>
                <w:lang w:val="en-US"/>
              </w:rPr>
              <w:t>1</w:t>
            </w:r>
            <w:r w:rsidRPr="3961D38A" w:rsidR="3961D38A">
              <w:rPr>
                <w:lang w:val="en-US"/>
              </w:rPr>
              <w:t>.d</w:t>
            </w:r>
          </w:p>
        </w:tc>
        <w:tc>
          <w:tcPr>
            <w:tcW w:w="2610" w:type="dxa"/>
          </w:tcPr>
          <w:p w:rsidRPr="006F4EA3" w:rsidR="00513695" w:rsidP="00513695" w:rsidRDefault="00513695" w14:paraId="5C0C1B4E" w14:textId="7B3FA8D4">
            <w:pPr>
              <w:cnfStyle w:val="000000000000" w:firstRow="0" w:lastRow="0" w:firstColumn="0" w:lastColumn="0" w:oddVBand="0" w:evenVBand="0" w:oddHBand="0" w:evenHBand="0" w:firstRowFirstColumn="0" w:firstRowLastColumn="0" w:lastRowFirstColumn="0" w:lastRowLastColumn="0"/>
              <w:rPr>
                <w:lang w:val="en-US"/>
              </w:rPr>
            </w:pPr>
            <w:r w:rsidRPr="006F4EA3">
              <w:rPr>
                <w:lang w:val="en-US"/>
              </w:rPr>
              <w:t>Remote accompaniment support and online peer exchanges</w:t>
            </w:r>
          </w:p>
          <w:p w:rsidRPr="006F4EA3" w:rsidR="00513695" w:rsidP="00513695" w:rsidRDefault="00513695" w14:paraId="53DBE2BD" w14:textId="1BEE56BA">
            <w:pPr>
              <w:cnfStyle w:val="000000000000" w:firstRow="0" w:lastRow="0" w:firstColumn="0" w:lastColumn="0" w:oddVBand="0" w:evenVBand="0" w:oddHBand="0" w:evenHBand="0" w:firstRowFirstColumn="0" w:firstRowLastColumn="0" w:lastRowFirstColumn="0" w:lastRowLastColumn="0"/>
              <w:rPr>
                <w:lang w:val="en-US"/>
              </w:rPr>
            </w:pPr>
          </w:p>
        </w:tc>
        <w:tc>
          <w:tcPr>
            <w:tcW w:w="2292" w:type="dxa"/>
          </w:tcPr>
          <w:p w:rsidRPr="006F4EA3" w:rsidR="00513695" w:rsidP="0063708F" w:rsidRDefault="00513695" w14:paraId="35964C1F" w14:textId="2289267D">
            <w:pPr>
              <w:cnfStyle w:val="000000000000" w:firstRow="0" w:lastRow="0" w:firstColumn="0" w:lastColumn="0" w:oddVBand="0" w:evenVBand="0" w:oddHBand="0" w:evenHBand="0" w:firstRowFirstColumn="0" w:firstRowLastColumn="0" w:lastRowFirstColumn="0" w:lastRowLastColumn="0"/>
              <w:rPr>
                <w:lang w:val="en-US"/>
              </w:rPr>
            </w:pPr>
            <w:r w:rsidRPr="006F4EA3">
              <w:rPr>
                <w:lang w:val="en-US"/>
              </w:rPr>
              <w:t>Regular follow-up calls and peer-exchanges on identified action points and key contextual/thematic issues agreed to during in-person workshops.</w:t>
            </w:r>
          </w:p>
        </w:tc>
        <w:tc>
          <w:tcPr>
            <w:tcW w:w="3948" w:type="dxa"/>
          </w:tcPr>
          <w:p w:rsidRPr="006F4EA3" w:rsidR="00513695" w:rsidP="0063708F" w:rsidRDefault="00513695" w14:paraId="61F30478" w14:textId="29A7B9A1">
            <w:pPr>
              <w:cnfStyle w:val="000000000000" w:firstRow="0" w:lastRow="0" w:firstColumn="0" w:lastColumn="0" w:oddVBand="0" w:evenVBand="0" w:oddHBand="0" w:evenHBand="0" w:firstRowFirstColumn="0" w:firstRowLastColumn="0" w:lastRowFirstColumn="0" w:lastRowLastColumn="0"/>
              <w:rPr>
                <w:lang w:val="en-US"/>
              </w:rPr>
            </w:pPr>
            <w:r w:rsidRPr="006F4EA3">
              <w:rPr>
                <w:lang w:val="en-US"/>
              </w:rPr>
              <w:t>10 days</w:t>
            </w:r>
          </w:p>
        </w:tc>
      </w:tr>
      <w:tr w:rsidRPr="006F4EA3" w:rsidR="00A73D7D" w:rsidTr="3961D38A" w14:paraId="0F7CE62A" w14:textId="77777777">
        <w:trPr>
          <w:trHeight w:val="300"/>
        </w:trPr>
        <w:tc>
          <w:tcPr>
            <w:cnfStyle w:val="001000000000" w:firstRow="0" w:lastRow="0" w:firstColumn="1" w:lastColumn="0" w:oddVBand="0" w:evenVBand="0" w:oddHBand="0" w:evenHBand="0" w:firstRowFirstColumn="0" w:firstRowLastColumn="0" w:lastRowFirstColumn="0" w:lastRowLastColumn="0"/>
            <w:tcW w:w="900" w:type="dxa"/>
          </w:tcPr>
          <w:p w:rsidR="2DA98FB8" w:rsidP="2DA98FB8" w:rsidRDefault="004A7576" w14:paraId="4FD24B1B" w14:textId="4EE96292">
            <w:pPr>
              <w:rPr>
                <w:lang w:val="en-US"/>
              </w:rPr>
            </w:pPr>
            <w:r>
              <w:rPr>
                <w:lang w:val="en-US"/>
              </w:rPr>
              <w:t>1</w:t>
            </w:r>
            <w:r w:rsidRPr="3961D38A" w:rsidR="3961D38A">
              <w:rPr>
                <w:lang w:val="en-US"/>
              </w:rPr>
              <w:t>.e</w:t>
            </w:r>
          </w:p>
        </w:tc>
        <w:tc>
          <w:tcPr>
            <w:tcW w:w="2610" w:type="dxa"/>
          </w:tcPr>
          <w:p w:rsidRPr="006F4EA3" w:rsidR="00A73D7D" w:rsidP="0063708F" w:rsidRDefault="00A73D7D" w14:paraId="57D071E7" w14:textId="5696C41C">
            <w:pPr>
              <w:cnfStyle w:val="000000000000" w:firstRow="0" w:lastRow="0" w:firstColumn="0" w:lastColumn="0" w:oddVBand="0" w:evenVBand="0" w:oddHBand="0" w:evenHBand="0" w:firstRowFirstColumn="0" w:firstRowLastColumn="0" w:lastRowFirstColumn="0" w:lastRowLastColumn="0"/>
              <w:rPr>
                <w:lang w:val="en-US"/>
              </w:rPr>
            </w:pPr>
            <w:r w:rsidRPr="006F4EA3">
              <w:rPr>
                <w:lang w:val="en-US"/>
              </w:rPr>
              <w:t xml:space="preserve">Draft outline and full draft </w:t>
            </w:r>
            <w:r w:rsidRPr="006F4EA3" w:rsidR="00513695">
              <w:rPr>
                <w:lang w:val="en-US"/>
              </w:rPr>
              <w:t>of learning product</w:t>
            </w:r>
          </w:p>
        </w:tc>
        <w:tc>
          <w:tcPr>
            <w:tcW w:w="2292" w:type="dxa"/>
          </w:tcPr>
          <w:p w:rsidRPr="006F4EA3" w:rsidR="00A73D7D" w:rsidP="0063708F" w:rsidRDefault="00513695" w14:paraId="72AE89A0" w14:textId="19450E93">
            <w:pPr>
              <w:cnfStyle w:val="000000000000" w:firstRow="0" w:lastRow="0" w:firstColumn="0" w:lastColumn="0" w:oddVBand="0" w:evenVBand="0" w:oddHBand="0" w:evenHBand="0" w:firstRowFirstColumn="0" w:firstRowLastColumn="0" w:lastRowFirstColumn="0" w:lastRowLastColumn="0"/>
              <w:rPr>
                <w:lang w:val="en-US"/>
              </w:rPr>
            </w:pPr>
            <w:r w:rsidRPr="006F4EA3">
              <w:rPr>
                <w:lang w:val="en-US"/>
              </w:rPr>
              <w:t>Showcasing lessons learned and recommendations for partners to consider in relation to specific issues or topics identified through the workshops and/or remote support and online peer-exchanges.</w:t>
            </w:r>
            <w:r w:rsidRPr="006F4EA3" w:rsidR="00A73D7D">
              <w:rPr>
                <w:lang w:val="en-US"/>
              </w:rPr>
              <w:t xml:space="preserve"> Draft outline to be shared and approved first.  </w:t>
            </w:r>
          </w:p>
        </w:tc>
        <w:tc>
          <w:tcPr>
            <w:tcW w:w="3948" w:type="dxa"/>
          </w:tcPr>
          <w:p w:rsidRPr="006F4EA3" w:rsidR="00A73D7D" w:rsidP="0063708F" w:rsidRDefault="00A73D7D" w14:paraId="2CE2AFBE" w14:textId="204F58DE">
            <w:pPr>
              <w:cnfStyle w:val="000000000000" w:firstRow="0" w:lastRow="0" w:firstColumn="0" w:lastColumn="0" w:oddVBand="0" w:evenVBand="0" w:oddHBand="0" w:evenHBand="0" w:firstRowFirstColumn="0" w:firstRowLastColumn="0" w:lastRowFirstColumn="0" w:lastRowLastColumn="0"/>
              <w:rPr>
                <w:lang w:val="en-US"/>
              </w:rPr>
            </w:pPr>
            <w:r w:rsidRPr="006F4EA3">
              <w:rPr>
                <w:lang w:val="en-US"/>
              </w:rPr>
              <w:t>1</w:t>
            </w:r>
            <w:r w:rsidRPr="006F4EA3" w:rsidR="009C5BB8">
              <w:rPr>
                <w:lang w:val="en-US"/>
              </w:rPr>
              <w:t>0</w:t>
            </w:r>
            <w:r w:rsidRPr="006F4EA3">
              <w:rPr>
                <w:lang w:val="en-US"/>
              </w:rPr>
              <w:t xml:space="preserve"> days</w:t>
            </w:r>
          </w:p>
        </w:tc>
      </w:tr>
      <w:tr w:rsidRPr="006F4EA3" w:rsidR="00A73D7D" w:rsidTr="3961D38A" w14:paraId="1DED0B73" w14:textId="77777777">
        <w:trPr>
          <w:trHeight w:val="300"/>
        </w:trPr>
        <w:tc>
          <w:tcPr>
            <w:cnfStyle w:val="001000000000" w:firstRow="0" w:lastRow="0" w:firstColumn="1" w:lastColumn="0" w:oddVBand="0" w:evenVBand="0" w:oddHBand="0" w:evenHBand="0" w:firstRowFirstColumn="0" w:firstRowLastColumn="0" w:lastRowFirstColumn="0" w:lastRowLastColumn="0"/>
            <w:tcW w:w="900" w:type="dxa"/>
          </w:tcPr>
          <w:p w:rsidR="2DA98FB8" w:rsidP="2DA98FB8" w:rsidRDefault="004A7576" w14:paraId="6DACED34" w14:textId="00367F72">
            <w:pPr>
              <w:rPr>
                <w:lang w:val="en-US"/>
              </w:rPr>
            </w:pPr>
            <w:r>
              <w:rPr>
                <w:lang w:val="en-US"/>
              </w:rPr>
              <w:t>1</w:t>
            </w:r>
            <w:r w:rsidRPr="3961D38A" w:rsidR="3961D38A">
              <w:rPr>
                <w:lang w:val="en-US"/>
              </w:rPr>
              <w:t>.f</w:t>
            </w:r>
          </w:p>
        </w:tc>
        <w:tc>
          <w:tcPr>
            <w:tcW w:w="2610" w:type="dxa"/>
          </w:tcPr>
          <w:p w:rsidRPr="006F4EA3" w:rsidR="00A73D7D" w:rsidP="0063708F" w:rsidRDefault="00A73D7D" w14:paraId="4596A071" w14:textId="77777777">
            <w:pPr>
              <w:cnfStyle w:val="000000000000" w:firstRow="0" w:lastRow="0" w:firstColumn="0" w:lastColumn="0" w:oddVBand="0" w:evenVBand="0" w:oddHBand="0" w:evenHBand="0" w:firstRowFirstColumn="0" w:firstRowLastColumn="0" w:lastRowFirstColumn="0" w:lastRowLastColumn="0"/>
              <w:rPr>
                <w:lang w:val="en-US"/>
              </w:rPr>
            </w:pPr>
            <w:r w:rsidRPr="006F4EA3">
              <w:rPr>
                <w:lang w:val="en-US"/>
              </w:rPr>
              <w:t>Presentation of findings and recommendations for validation with reference group</w:t>
            </w:r>
          </w:p>
          <w:p w:rsidRPr="006F4EA3" w:rsidR="00A73D7D" w:rsidP="0063708F" w:rsidRDefault="00A73D7D" w14:paraId="3E95D7F5" w14:textId="77777777">
            <w:pPr>
              <w:cnfStyle w:val="000000000000" w:firstRow="0" w:lastRow="0" w:firstColumn="0" w:lastColumn="0" w:oddVBand="0" w:evenVBand="0" w:oddHBand="0" w:evenHBand="0" w:firstRowFirstColumn="0" w:firstRowLastColumn="0" w:lastRowFirstColumn="0" w:lastRowLastColumn="0"/>
              <w:rPr>
                <w:lang w:val="en-US"/>
              </w:rPr>
            </w:pPr>
          </w:p>
        </w:tc>
        <w:tc>
          <w:tcPr>
            <w:tcW w:w="2292" w:type="dxa"/>
          </w:tcPr>
          <w:p w:rsidRPr="006F4EA3" w:rsidR="00A73D7D" w:rsidP="0063708F" w:rsidRDefault="00A73D7D" w14:paraId="158AA1BB" w14:textId="1F111165">
            <w:pPr>
              <w:cnfStyle w:val="000000000000" w:firstRow="0" w:lastRow="0" w:firstColumn="0" w:lastColumn="0" w:oddVBand="0" w:evenVBand="0" w:oddHBand="0" w:evenHBand="0" w:firstRowFirstColumn="0" w:firstRowLastColumn="0" w:lastRowFirstColumn="0" w:lastRowLastColumn="0"/>
              <w:rPr>
                <w:lang w:val="en-US"/>
              </w:rPr>
            </w:pPr>
            <w:r w:rsidRPr="006F4EA3">
              <w:rPr>
                <w:lang w:val="en-US"/>
              </w:rPr>
              <w:t xml:space="preserve">Key Oxfam and partner focal points will serve as the reference group </w:t>
            </w:r>
          </w:p>
          <w:p w:rsidRPr="006F4EA3" w:rsidR="00A73D7D" w:rsidP="0063708F" w:rsidRDefault="00A73D7D" w14:paraId="026B409B" w14:textId="77777777">
            <w:pPr>
              <w:cnfStyle w:val="000000000000" w:firstRow="0" w:lastRow="0" w:firstColumn="0" w:lastColumn="0" w:oddVBand="0" w:evenVBand="0" w:oddHBand="0" w:evenHBand="0" w:firstRowFirstColumn="0" w:firstRowLastColumn="0" w:lastRowFirstColumn="0" w:lastRowLastColumn="0"/>
              <w:rPr>
                <w:lang w:val="en-US"/>
              </w:rPr>
            </w:pPr>
          </w:p>
        </w:tc>
        <w:tc>
          <w:tcPr>
            <w:tcW w:w="3948" w:type="dxa"/>
          </w:tcPr>
          <w:p w:rsidRPr="006F4EA3" w:rsidR="00A73D7D" w:rsidP="0063708F" w:rsidRDefault="00A73D7D" w14:paraId="679A1A3A" w14:textId="77777777">
            <w:pPr>
              <w:cnfStyle w:val="000000000000" w:firstRow="0" w:lastRow="0" w:firstColumn="0" w:lastColumn="0" w:oddVBand="0" w:evenVBand="0" w:oddHBand="0" w:evenHBand="0" w:firstRowFirstColumn="0" w:firstRowLastColumn="0" w:lastRowFirstColumn="0" w:lastRowLastColumn="0"/>
              <w:rPr>
                <w:lang w:val="en-US"/>
              </w:rPr>
            </w:pPr>
            <w:r w:rsidRPr="006F4EA3">
              <w:rPr>
                <w:lang w:val="en-US"/>
              </w:rPr>
              <w:t>1 day</w:t>
            </w:r>
          </w:p>
        </w:tc>
      </w:tr>
      <w:tr w:rsidRPr="006F4EA3" w:rsidR="00A73D7D" w:rsidTr="3961D38A" w14:paraId="4C97EBC1" w14:textId="77777777">
        <w:trPr>
          <w:trHeight w:val="289"/>
        </w:trPr>
        <w:tc>
          <w:tcPr>
            <w:cnfStyle w:val="001000000000" w:firstRow="0" w:lastRow="0" w:firstColumn="1" w:lastColumn="0" w:oddVBand="0" w:evenVBand="0" w:oddHBand="0" w:evenHBand="0" w:firstRowFirstColumn="0" w:firstRowLastColumn="0" w:lastRowFirstColumn="0" w:lastRowLastColumn="0"/>
            <w:tcW w:w="900" w:type="dxa"/>
          </w:tcPr>
          <w:p w:rsidR="2DA98FB8" w:rsidP="2DA98FB8" w:rsidRDefault="004A7576" w14:paraId="3D354CA6" w14:textId="0A7681E6">
            <w:pPr>
              <w:rPr>
                <w:lang w:val="en-US"/>
              </w:rPr>
            </w:pPr>
            <w:r>
              <w:rPr>
                <w:lang w:val="en-US"/>
              </w:rPr>
              <w:t>1</w:t>
            </w:r>
            <w:r w:rsidRPr="3961D38A" w:rsidR="3961D38A">
              <w:rPr>
                <w:lang w:val="en-US"/>
              </w:rPr>
              <w:t>.g</w:t>
            </w:r>
          </w:p>
        </w:tc>
        <w:tc>
          <w:tcPr>
            <w:tcW w:w="2610" w:type="dxa"/>
          </w:tcPr>
          <w:p w:rsidRPr="006F4EA3" w:rsidR="00A73D7D" w:rsidP="0063708F" w:rsidRDefault="00A73D7D" w14:paraId="29DD063B" w14:textId="17B85E94">
            <w:pPr>
              <w:cnfStyle w:val="000000000000" w:firstRow="0" w:lastRow="0" w:firstColumn="0" w:lastColumn="0" w:oddVBand="0" w:evenVBand="0" w:oddHBand="0" w:evenHBand="0" w:firstRowFirstColumn="0" w:firstRowLastColumn="0" w:lastRowFirstColumn="0" w:lastRowLastColumn="0"/>
              <w:rPr>
                <w:lang w:val="en-US"/>
              </w:rPr>
            </w:pPr>
            <w:r w:rsidRPr="006F4EA3">
              <w:rPr>
                <w:lang w:val="en-US"/>
              </w:rPr>
              <w:t xml:space="preserve">Final </w:t>
            </w:r>
            <w:r w:rsidRPr="006F4EA3" w:rsidR="009C5BB8">
              <w:rPr>
                <w:lang w:val="en-US"/>
              </w:rPr>
              <w:t>learning product</w:t>
            </w:r>
          </w:p>
        </w:tc>
        <w:tc>
          <w:tcPr>
            <w:tcW w:w="2292" w:type="dxa"/>
          </w:tcPr>
          <w:p w:rsidRPr="006F4EA3" w:rsidR="00A73D7D" w:rsidP="0063708F" w:rsidRDefault="009C5BB8" w14:paraId="1F44DBE7" w14:textId="32719A31">
            <w:pPr>
              <w:cnfStyle w:val="000000000000" w:firstRow="0" w:lastRow="0" w:firstColumn="0" w:lastColumn="0" w:oddVBand="0" w:evenVBand="0" w:oddHBand="0" w:evenHBand="0" w:firstRowFirstColumn="0" w:firstRowLastColumn="0" w:lastRowFirstColumn="0" w:lastRowLastColumn="0"/>
              <w:rPr>
                <w:lang w:val="en-US"/>
              </w:rPr>
            </w:pPr>
            <w:r w:rsidRPr="006F4EA3">
              <w:rPr>
                <w:lang w:val="en-US"/>
              </w:rPr>
              <w:t>I</w:t>
            </w:r>
            <w:r w:rsidRPr="006F4EA3" w:rsidR="00A73D7D">
              <w:rPr>
                <w:lang w:val="en-US"/>
              </w:rPr>
              <w:t xml:space="preserve">ncorporating feedback from reference group. </w:t>
            </w:r>
          </w:p>
        </w:tc>
        <w:tc>
          <w:tcPr>
            <w:tcW w:w="3948" w:type="dxa"/>
          </w:tcPr>
          <w:p w:rsidRPr="006F4EA3" w:rsidR="00A73D7D" w:rsidP="0063708F" w:rsidRDefault="009C5BB8" w14:paraId="2FB4F7EC" w14:textId="4F940889">
            <w:pPr>
              <w:cnfStyle w:val="000000000000" w:firstRow="0" w:lastRow="0" w:firstColumn="0" w:lastColumn="0" w:oddVBand="0" w:evenVBand="0" w:oddHBand="0" w:evenHBand="0" w:firstRowFirstColumn="0" w:firstRowLastColumn="0" w:lastRowFirstColumn="0" w:lastRowLastColumn="0"/>
              <w:rPr>
                <w:lang w:val="en-US"/>
              </w:rPr>
            </w:pPr>
            <w:r w:rsidRPr="006F4EA3">
              <w:rPr>
                <w:lang w:val="en-US"/>
              </w:rPr>
              <w:t>3</w:t>
            </w:r>
            <w:r w:rsidRPr="006F4EA3" w:rsidR="00A73D7D">
              <w:rPr>
                <w:lang w:val="en-US"/>
              </w:rPr>
              <w:t xml:space="preserve"> days</w:t>
            </w:r>
          </w:p>
        </w:tc>
      </w:tr>
      <w:tr w:rsidRPr="006F4EA3" w:rsidR="00A73D7D" w:rsidTr="3961D38A" w14:paraId="53B3AEDF" w14:textId="77777777">
        <w:trPr>
          <w:trHeight w:val="289"/>
        </w:trPr>
        <w:tc>
          <w:tcPr>
            <w:cnfStyle w:val="001000000000" w:firstRow="0" w:lastRow="0" w:firstColumn="1" w:lastColumn="0" w:oddVBand="0" w:evenVBand="0" w:oddHBand="0" w:evenHBand="0" w:firstRowFirstColumn="0" w:firstRowLastColumn="0" w:lastRowFirstColumn="0" w:lastRowLastColumn="0"/>
            <w:tcW w:w="900" w:type="dxa"/>
          </w:tcPr>
          <w:p w:rsidR="2DA98FB8" w:rsidP="2DA98FB8" w:rsidRDefault="2DA98FB8" w14:paraId="2903F788" w14:textId="1601AB83">
            <w:pPr>
              <w:rPr>
                <w:lang w:val="en-US"/>
              </w:rPr>
            </w:pPr>
          </w:p>
        </w:tc>
        <w:tc>
          <w:tcPr>
            <w:tcW w:w="2610" w:type="dxa"/>
          </w:tcPr>
          <w:p w:rsidRPr="006F4EA3" w:rsidR="00A73D7D" w:rsidP="0063708F" w:rsidRDefault="00A73D7D" w14:paraId="7B3C2ED7" w14:textId="77777777">
            <w:pPr>
              <w:cnfStyle w:val="000000000000" w:firstRow="0" w:lastRow="0" w:firstColumn="0" w:lastColumn="0" w:oddVBand="0" w:evenVBand="0" w:oddHBand="0" w:evenHBand="0" w:firstRowFirstColumn="0" w:firstRowLastColumn="0" w:lastRowFirstColumn="0" w:lastRowLastColumn="0"/>
              <w:rPr>
                <w:lang w:val="en-US"/>
              </w:rPr>
            </w:pPr>
            <w:r w:rsidRPr="006F4EA3">
              <w:rPr>
                <w:lang w:val="en-US"/>
              </w:rPr>
              <w:t>Total</w:t>
            </w:r>
          </w:p>
        </w:tc>
        <w:tc>
          <w:tcPr>
            <w:tcW w:w="2292" w:type="dxa"/>
          </w:tcPr>
          <w:p w:rsidRPr="006F4EA3" w:rsidR="00A73D7D" w:rsidP="0063708F" w:rsidRDefault="00A73D7D" w14:paraId="4EDDE53E" w14:textId="77777777">
            <w:pPr>
              <w:cnfStyle w:val="000000000000" w:firstRow="0" w:lastRow="0" w:firstColumn="0" w:lastColumn="0" w:oddVBand="0" w:evenVBand="0" w:oddHBand="0" w:evenHBand="0" w:firstRowFirstColumn="0" w:firstRowLastColumn="0" w:lastRowFirstColumn="0" w:lastRowLastColumn="0"/>
              <w:rPr>
                <w:lang w:val="en-US"/>
              </w:rPr>
            </w:pPr>
          </w:p>
        </w:tc>
        <w:tc>
          <w:tcPr>
            <w:tcW w:w="3948" w:type="dxa"/>
          </w:tcPr>
          <w:p w:rsidRPr="006F4EA3" w:rsidR="00A73D7D" w:rsidP="0063708F" w:rsidRDefault="00A73D7D" w14:paraId="31B04E2C" w14:textId="7F6F3902">
            <w:pPr>
              <w:cnfStyle w:val="000000000000" w:firstRow="0" w:lastRow="0" w:firstColumn="0" w:lastColumn="0" w:oddVBand="0" w:evenVBand="0" w:oddHBand="0" w:evenHBand="0" w:firstRowFirstColumn="0" w:firstRowLastColumn="0" w:lastRowFirstColumn="0" w:lastRowLastColumn="0"/>
              <w:rPr>
                <w:lang w:val="en-US"/>
              </w:rPr>
            </w:pPr>
            <w:r w:rsidRPr="006F4EA3">
              <w:rPr>
                <w:lang w:val="en-US"/>
              </w:rPr>
              <w:t>3</w:t>
            </w:r>
            <w:r w:rsidRPr="006F4EA3" w:rsidR="009C5BB8">
              <w:rPr>
                <w:lang w:val="en-US"/>
              </w:rPr>
              <w:t>4</w:t>
            </w:r>
            <w:r w:rsidRPr="006F4EA3">
              <w:rPr>
                <w:lang w:val="en-US"/>
              </w:rPr>
              <w:t xml:space="preserve"> days</w:t>
            </w:r>
            <w:r w:rsidRPr="006F4EA3" w:rsidR="009C5BB8">
              <w:rPr>
                <w:lang w:val="en-US"/>
              </w:rPr>
              <w:t xml:space="preserve"> spread across 12 months</w:t>
            </w:r>
          </w:p>
        </w:tc>
      </w:tr>
    </w:tbl>
    <w:p w:rsidRPr="006F4EA3" w:rsidR="00E045B5" w:rsidP="00616EC5" w:rsidRDefault="2575B3B7" w14:paraId="482D1044" w14:textId="02DB7FD4">
      <w:pPr>
        <w:rPr>
          <w:b/>
          <w:bCs/>
          <w:lang w:val="en-US"/>
        </w:rPr>
      </w:pPr>
      <w:r w:rsidRPr="2575B3B7">
        <w:rPr>
          <w:b/>
          <w:bCs/>
          <w:lang w:val="en-US"/>
        </w:rPr>
        <w:t xml:space="preserve"> </w:t>
      </w:r>
    </w:p>
    <w:p w:rsidR="33B7FB67" w:rsidP="07693DD5" w:rsidRDefault="74D4D921" w14:paraId="62168A48" w14:textId="2BD64469">
      <w:pPr>
        <w:pStyle w:val="Kommentartekst"/>
        <w:spacing w:after="200"/>
        <w:jc w:val="both"/>
        <w:rPr>
          <w:rFonts w:eastAsia="" w:eastAsiaTheme="minorEastAsia"/>
          <w:color w:val="000000" w:themeColor="text1"/>
          <w:sz w:val="22"/>
          <w:szCs w:val="22"/>
          <w:lang w:val="en-US"/>
        </w:rPr>
      </w:pPr>
      <w:r w:rsidRPr="07693DD5" w:rsidR="07693DD5">
        <w:rPr>
          <w:rFonts w:eastAsia="" w:eastAsiaTheme="minorEastAsia"/>
          <w:color w:val="000000" w:themeColor="text1" w:themeTint="FF" w:themeShade="FF"/>
          <w:sz w:val="22"/>
          <w:szCs w:val="22"/>
          <w:lang w:val="en-GB"/>
        </w:rPr>
        <w:t>The maximum budget amount available for this consultancy is 375,000 DKK (all inclusive). The consultant/consulting firm will submit a financial proposal that indicates all-inclusive costs for conducting the assignment. The consulting firm shall bear all costs associated with the preparation and submission of the proposal. All costs should be quoted in EUR and will remain valid up to sixty days (60) from the day of proposal submission.</w:t>
      </w:r>
    </w:p>
    <w:p w:rsidR="33B7FB67" w:rsidP="74D4D921" w:rsidRDefault="74D4D921" w14:paraId="611B56BE" w14:textId="7D2C0F1C">
      <w:pPr>
        <w:pStyle w:val="Kommentartekst"/>
        <w:spacing w:after="200"/>
        <w:jc w:val="both"/>
        <w:rPr>
          <w:rFonts w:eastAsiaTheme="minorEastAsia"/>
          <w:color w:val="000000" w:themeColor="text1"/>
          <w:sz w:val="22"/>
          <w:szCs w:val="22"/>
          <w:lang w:val="en-US"/>
        </w:rPr>
      </w:pPr>
      <w:r w:rsidRPr="74D4D921">
        <w:rPr>
          <w:rFonts w:eastAsiaTheme="minorEastAsia"/>
          <w:color w:val="000000" w:themeColor="text1"/>
          <w:sz w:val="22"/>
          <w:szCs w:val="22"/>
          <w:lang w:val="en-GB"/>
        </w:rPr>
        <w:t xml:space="preserve">Invoicing and payment shall be managed according to the following: </w:t>
      </w:r>
    </w:p>
    <w:p w:rsidR="33B7FB67" w:rsidP="3961D38A" w:rsidRDefault="3961D38A" w14:paraId="7B34E60D" w14:textId="6F64E65E">
      <w:pPr>
        <w:pStyle w:val="Listeafsnit"/>
        <w:numPr>
          <w:ilvl w:val="0"/>
          <w:numId w:val="11"/>
        </w:numPr>
        <w:jc w:val="both"/>
        <w:rPr>
          <w:rFonts w:eastAsiaTheme="minorEastAsia"/>
          <w:color w:val="000000" w:themeColor="text1"/>
          <w:lang w:val="en-US"/>
        </w:rPr>
      </w:pPr>
      <w:r w:rsidRPr="3961D38A">
        <w:rPr>
          <w:rFonts w:eastAsiaTheme="minorEastAsia"/>
          <w:color w:val="000000" w:themeColor="text1"/>
          <w:lang w:val="en-GB"/>
        </w:rPr>
        <w:t xml:space="preserve">25% upon approval by Oxfam Denmark of the desk reviews and methodology plans (item </w:t>
      </w:r>
      <w:r w:rsidR="004A7576">
        <w:rPr>
          <w:rFonts w:eastAsiaTheme="minorEastAsia"/>
          <w:color w:val="000000" w:themeColor="text1"/>
          <w:lang w:val="en-GB"/>
        </w:rPr>
        <w:t>1</w:t>
      </w:r>
      <w:r w:rsidRPr="3961D38A">
        <w:rPr>
          <w:rFonts w:eastAsiaTheme="minorEastAsia"/>
          <w:color w:val="000000" w:themeColor="text1"/>
          <w:lang w:val="en-GB"/>
        </w:rPr>
        <w:t xml:space="preserve">.b. above), submitted after signing of the contract and a preparatory meeting. </w:t>
      </w:r>
    </w:p>
    <w:p w:rsidR="33B7FB67" w:rsidP="3961D38A" w:rsidRDefault="3961D38A" w14:paraId="57664BD4" w14:textId="064A6D4F">
      <w:pPr>
        <w:pStyle w:val="Listeafsnit"/>
        <w:numPr>
          <w:ilvl w:val="0"/>
          <w:numId w:val="11"/>
        </w:numPr>
        <w:jc w:val="both"/>
        <w:rPr>
          <w:rFonts w:eastAsiaTheme="minorEastAsia"/>
          <w:color w:val="000000" w:themeColor="text1"/>
          <w:lang w:val="en-US"/>
        </w:rPr>
      </w:pPr>
      <w:r w:rsidRPr="3961D38A">
        <w:rPr>
          <w:rFonts w:eastAsiaTheme="minorEastAsia"/>
          <w:color w:val="000000" w:themeColor="text1"/>
          <w:lang w:val="en-GB"/>
        </w:rPr>
        <w:t>50% upon approval by Oxfam Denmark of the draft final reports (item</w:t>
      </w:r>
      <w:r w:rsidR="002F4A38">
        <w:rPr>
          <w:rFonts w:eastAsiaTheme="minorEastAsia"/>
          <w:color w:val="000000" w:themeColor="text1"/>
          <w:lang w:val="en-GB"/>
        </w:rPr>
        <w:t xml:space="preserve"> </w:t>
      </w:r>
      <w:r w:rsidR="004A7576">
        <w:rPr>
          <w:rFonts w:eastAsiaTheme="minorEastAsia"/>
          <w:color w:val="000000" w:themeColor="text1"/>
          <w:lang w:val="en-GB"/>
        </w:rPr>
        <w:t>1</w:t>
      </w:r>
      <w:r w:rsidRPr="3961D38A">
        <w:rPr>
          <w:rFonts w:eastAsiaTheme="minorEastAsia"/>
          <w:color w:val="000000" w:themeColor="text1"/>
          <w:lang w:val="en-GB"/>
        </w:rPr>
        <w:t>.d above</w:t>
      </w:r>
      <w:proofErr w:type="gramStart"/>
      <w:r w:rsidRPr="3961D38A">
        <w:rPr>
          <w:rFonts w:eastAsiaTheme="minorEastAsia"/>
          <w:color w:val="000000" w:themeColor="text1"/>
          <w:lang w:val="en-GB"/>
        </w:rPr>
        <w:t>) .</w:t>
      </w:r>
      <w:proofErr w:type="gramEnd"/>
      <w:r w:rsidRPr="3961D38A">
        <w:rPr>
          <w:rFonts w:eastAsiaTheme="minorEastAsia"/>
          <w:color w:val="000000" w:themeColor="text1"/>
          <w:lang w:val="en-GB"/>
        </w:rPr>
        <w:t xml:space="preserve"> </w:t>
      </w:r>
    </w:p>
    <w:p w:rsidR="33B7FB67" w:rsidP="3961D38A" w:rsidRDefault="3961D38A" w14:paraId="463B27C5" w14:textId="4E7EDA37">
      <w:pPr>
        <w:pStyle w:val="Listeafsnit"/>
        <w:numPr>
          <w:ilvl w:val="0"/>
          <w:numId w:val="11"/>
        </w:numPr>
        <w:jc w:val="both"/>
        <w:rPr>
          <w:rFonts w:eastAsiaTheme="minorEastAsia"/>
          <w:color w:val="000000" w:themeColor="text1"/>
          <w:lang w:val="en-US"/>
        </w:rPr>
      </w:pPr>
      <w:r w:rsidRPr="3961D38A">
        <w:rPr>
          <w:rFonts w:eastAsiaTheme="minorEastAsia"/>
          <w:color w:val="000000" w:themeColor="text1"/>
          <w:lang w:val="en-GB"/>
        </w:rPr>
        <w:t>25% upon finalization of the final reports (item</w:t>
      </w:r>
      <w:r w:rsidR="002F4A38">
        <w:rPr>
          <w:rFonts w:eastAsiaTheme="minorEastAsia"/>
          <w:color w:val="000000" w:themeColor="text1"/>
          <w:lang w:val="en-GB"/>
        </w:rPr>
        <w:t xml:space="preserve"> </w:t>
      </w:r>
      <w:r w:rsidR="004A7576">
        <w:rPr>
          <w:rFonts w:eastAsiaTheme="minorEastAsia"/>
          <w:color w:val="000000" w:themeColor="text1"/>
          <w:lang w:val="en-GB"/>
        </w:rPr>
        <w:t>1</w:t>
      </w:r>
      <w:r w:rsidRPr="3961D38A">
        <w:rPr>
          <w:rFonts w:eastAsiaTheme="minorEastAsia"/>
          <w:color w:val="000000" w:themeColor="text1"/>
          <w:lang w:val="en-GB"/>
        </w:rPr>
        <w:t>.g above) approved by Oxfam Denmark capturing all findings, recommendations and lessons learned (in English). Issues requiring management response should be clearly outlined. The Report length should not exceed 40 pages in total (excluding annexes). The executive summary should be maximum 3-5 pages understandable as a stand-alone document.</w:t>
      </w:r>
    </w:p>
    <w:p w:rsidR="33B7FB67" w:rsidP="74D4D921" w:rsidRDefault="74D4D921" w14:paraId="6C8C12B8" w14:textId="11709905">
      <w:pPr>
        <w:spacing w:beforeAutospacing="1" w:afterAutospacing="1" w:line="240" w:lineRule="auto"/>
        <w:jc w:val="both"/>
        <w:rPr>
          <w:rFonts w:eastAsiaTheme="minorEastAsia"/>
          <w:color w:val="000000" w:themeColor="text1"/>
          <w:lang w:val="en-US"/>
        </w:rPr>
      </w:pPr>
      <w:r w:rsidRPr="74D4D921">
        <w:rPr>
          <w:rFonts w:eastAsiaTheme="minorEastAsia"/>
          <w:color w:val="000000" w:themeColor="text1"/>
          <w:lang w:val="en-GB"/>
        </w:rPr>
        <w:t>All the outputs – reports, data base, etc, produced under this assignment will not be disseminated in part or whole without authority from Oxfam Denmark. Thus, the consultant firm shall not produce these materials in any form (electronic, hard copies, etc) to a third party without written permission from Oxfam Denmark. The consultancy firm shall handover to Oxfam Denmark a clean data set and transcriptions of the data gathered.</w:t>
      </w:r>
    </w:p>
    <w:p w:rsidR="33B7FB67" w:rsidP="3961D38A" w:rsidRDefault="3961D38A" w14:paraId="73C0C204" w14:textId="1B836FBC">
      <w:pPr>
        <w:spacing w:after="200"/>
        <w:jc w:val="both"/>
        <w:rPr>
          <w:rFonts w:eastAsiaTheme="minorEastAsia"/>
          <w:color w:val="000000" w:themeColor="text1"/>
          <w:lang w:val="en-US"/>
        </w:rPr>
      </w:pPr>
      <w:r w:rsidRPr="3961D38A">
        <w:rPr>
          <w:rFonts w:eastAsiaTheme="minorEastAsia"/>
          <w:color w:val="000000" w:themeColor="text1"/>
          <w:lang w:val="en-GB"/>
        </w:rPr>
        <w:t xml:space="preserve">Relevant project documentation will be provided by Oxfam Denmark and relevant Oxfam Country offices in the inception phase. </w:t>
      </w:r>
    </w:p>
    <w:p w:rsidR="33B7FB67" w:rsidP="74D4D921" w:rsidRDefault="74D4D921" w14:paraId="0514321D" w14:textId="08A64AC1">
      <w:pPr>
        <w:spacing w:beforeAutospacing="1" w:afterAutospacing="1" w:line="240" w:lineRule="auto"/>
        <w:jc w:val="both"/>
        <w:rPr>
          <w:rFonts w:eastAsiaTheme="minorEastAsia"/>
          <w:color w:val="000000" w:themeColor="text1"/>
          <w:lang w:val="en-US"/>
        </w:rPr>
      </w:pPr>
      <w:r w:rsidRPr="74D4D921">
        <w:rPr>
          <w:rFonts w:eastAsiaTheme="minorEastAsia"/>
          <w:color w:val="000000" w:themeColor="text1"/>
          <w:lang w:val="en-GB"/>
        </w:rPr>
        <w:t xml:space="preserve">The consultancy team will be responsible for its own travel itinerary to Niger and other select countries as well as necessary security arrangements in coordination with Oxfam country offices. Oxfam Denmark will be contracting the consultancy team and coordinating on travel arrangements with Oxfam Country Offices for country travel. Oxfam Country Offices will support and facilitate the data collection, workshop arrangements and help in coordination with the different stakeholders. If required, Oxfam country offices will assist in arranging stakeholder interviews, support identifying interviewees for different interviews, in-country transportation arrangements including the booking of UNHAS flights, identifying enumerators and translators in the data collection locations, availing training facilities for enumerators/translators, organizing of the cost of translators and enumerators related to the data collection, coordinating meetings with relevant government counterparts or other stakeholders, and obtaining the needed approvals. Some of these costs will be agreed with the consultants and deducted from the final consultancy budget (specified above) and consultancy payments.  </w:t>
      </w:r>
    </w:p>
    <w:p w:rsidR="2575B3B7" w:rsidP="2575B3B7" w:rsidRDefault="2575B3B7" w14:paraId="751CE19A" w14:textId="207964E1">
      <w:pPr>
        <w:spacing w:beforeAutospacing="1" w:afterAutospacing="1" w:line="240" w:lineRule="auto"/>
        <w:jc w:val="both"/>
        <w:rPr>
          <w:rFonts w:ascii="Times New Roman" w:hAnsi="Times New Roman" w:eastAsia="Times New Roman" w:cs="Times New Roman"/>
          <w:color w:val="000000" w:themeColor="text1"/>
          <w:lang w:val="en-GB"/>
        </w:rPr>
      </w:pPr>
    </w:p>
    <w:p w:rsidRPr="002F4A38" w:rsidR="00616EC5" w:rsidP="002F4A38" w:rsidRDefault="59C84E19" w14:paraId="31A20AAB" w14:textId="53C026B8">
      <w:pPr>
        <w:rPr>
          <w:b/>
          <w:bCs/>
          <w:color w:val="538135" w:themeColor="accent6" w:themeShade="BF"/>
          <w:sz w:val="28"/>
          <w:szCs w:val="28"/>
          <w:lang w:val="en-US"/>
        </w:rPr>
      </w:pPr>
      <w:r w:rsidRPr="59C84E19">
        <w:rPr>
          <w:b/>
          <w:bCs/>
          <w:color w:val="538135" w:themeColor="accent6" w:themeShade="BF"/>
          <w:sz w:val="28"/>
          <w:szCs w:val="28"/>
          <w:lang w:val="en-US"/>
        </w:rPr>
        <w:t>Reporting requirements</w:t>
      </w:r>
    </w:p>
    <w:tbl>
      <w:tblPr>
        <w:tblStyle w:val="Tabel-Gitter"/>
        <w:tblW w:w="9773" w:type="dxa"/>
        <w:tblLayout w:type="fixed"/>
        <w:tblLook w:val="06A0" w:firstRow="1" w:lastRow="0" w:firstColumn="1" w:lastColumn="0" w:noHBand="1" w:noVBand="1"/>
      </w:tblPr>
      <w:tblGrid>
        <w:gridCol w:w="1545"/>
        <w:gridCol w:w="4500"/>
        <w:gridCol w:w="3728"/>
      </w:tblGrid>
      <w:tr w:rsidR="722CB157" w:rsidTr="722CB157" w14:paraId="7B99D7C4" w14:textId="77777777">
        <w:trPr>
          <w:trHeight w:val="300"/>
        </w:trPr>
        <w:tc>
          <w:tcPr>
            <w:tcW w:w="1545" w:type="dxa"/>
          </w:tcPr>
          <w:p w:rsidR="722CB157" w:rsidP="722CB157" w:rsidRDefault="722CB157" w14:paraId="1533E3DA" w14:textId="12D581F9">
            <w:pPr>
              <w:rPr>
                <w:b/>
                <w:bCs/>
                <w:color w:val="000000" w:themeColor="text1"/>
                <w:lang w:val="en-US"/>
              </w:rPr>
            </w:pPr>
          </w:p>
        </w:tc>
        <w:tc>
          <w:tcPr>
            <w:tcW w:w="4500" w:type="dxa"/>
          </w:tcPr>
          <w:p w:rsidR="722CB157" w:rsidP="722CB157" w:rsidRDefault="722CB157" w14:paraId="7400A5E6" w14:textId="5B51B49C">
            <w:pPr>
              <w:rPr>
                <w:b/>
                <w:bCs/>
                <w:color w:val="000000" w:themeColor="text1"/>
                <w:lang w:val="en-US"/>
              </w:rPr>
            </w:pPr>
            <w:r w:rsidRPr="722CB157">
              <w:rPr>
                <w:b/>
                <w:bCs/>
                <w:color w:val="000000" w:themeColor="text1"/>
                <w:lang w:val="en-US"/>
              </w:rPr>
              <w:t>Period Covered</w:t>
            </w:r>
          </w:p>
        </w:tc>
        <w:tc>
          <w:tcPr>
            <w:tcW w:w="3728" w:type="dxa"/>
          </w:tcPr>
          <w:p w:rsidR="722CB157" w:rsidP="722CB157" w:rsidRDefault="722CB157" w14:paraId="38B288FA" w14:textId="27BCEDAA">
            <w:pPr>
              <w:rPr>
                <w:b/>
                <w:bCs/>
                <w:color w:val="000000" w:themeColor="text1"/>
                <w:lang w:val="en-US"/>
              </w:rPr>
            </w:pPr>
            <w:r w:rsidRPr="722CB157">
              <w:rPr>
                <w:b/>
                <w:bCs/>
                <w:color w:val="000000" w:themeColor="text1"/>
                <w:lang w:val="en-US"/>
              </w:rPr>
              <w:t>Submission Timeframe</w:t>
            </w:r>
          </w:p>
        </w:tc>
      </w:tr>
      <w:tr w:rsidR="38E51C4A" w:rsidTr="722CB157" w14:paraId="1DFFD574" w14:textId="77777777">
        <w:trPr>
          <w:trHeight w:val="300"/>
        </w:trPr>
        <w:tc>
          <w:tcPr>
            <w:tcW w:w="1545" w:type="dxa"/>
            <w:vMerge w:val="restart"/>
          </w:tcPr>
          <w:p w:rsidR="38E51C4A" w:rsidP="722CB157" w:rsidRDefault="722CB157" w14:paraId="639CC908" w14:textId="54044E04">
            <w:pPr>
              <w:rPr>
                <w:b/>
                <w:bCs/>
                <w:color w:val="000000" w:themeColor="text1"/>
                <w:lang w:val="en-US"/>
              </w:rPr>
            </w:pPr>
            <w:r w:rsidRPr="722CB157">
              <w:rPr>
                <w:b/>
                <w:bCs/>
                <w:color w:val="000000" w:themeColor="text1"/>
                <w:lang w:val="en-US"/>
              </w:rPr>
              <w:t>Narrative Reports</w:t>
            </w:r>
          </w:p>
        </w:tc>
        <w:tc>
          <w:tcPr>
            <w:tcW w:w="4500" w:type="dxa"/>
          </w:tcPr>
          <w:p w:rsidR="38E51C4A" w:rsidP="722CB157" w:rsidRDefault="722CB157" w14:paraId="20B19F81" w14:textId="34D44227">
            <w:pPr>
              <w:rPr>
                <w:color w:val="000000" w:themeColor="text1"/>
                <w:lang w:val="en-US"/>
              </w:rPr>
            </w:pPr>
            <w:r w:rsidRPr="722CB157">
              <w:rPr>
                <w:color w:val="000000" w:themeColor="text1"/>
                <w:u w:val="single"/>
                <w:lang w:val="en-US"/>
              </w:rPr>
              <w:t>Annual:</w:t>
            </w:r>
            <w:r w:rsidRPr="722CB157">
              <w:rPr>
                <w:color w:val="000000" w:themeColor="text1"/>
                <w:lang w:val="en-US"/>
              </w:rPr>
              <w:t xml:space="preserve"> contract signing date - 31</w:t>
            </w:r>
            <w:r w:rsidRPr="722CB157">
              <w:rPr>
                <w:color w:val="000000" w:themeColor="text1"/>
                <w:vertAlign w:val="superscript"/>
                <w:lang w:val="en-US"/>
              </w:rPr>
              <w:t>st</w:t>
            </w:r>
            <w:r w:rsidRPr="722CB157">
              <w:rPr>
                <w:color w:val="000000" w:themeColor="text1"/>
                <w:lang w:val="en-US"/>
              </w:rPr>
              <w:t xml:space="preserve"> December 2024</w:t>
            </w:r>
          </w:p>
        </w:tc>
        <w:tc>
          <w:tcPr>
            <w:tcW w:w="3728" w:type="dxa"/>
          </w:tcPr>
          <w:p w:rsidR="38E51C4A" w:rsidP="722CB157" w:rsidRDefault="722CB157" w14:paraId="43FEC446" w14:textId="48474CA6">
            <w:pPr>
              <w:rPr>
                <w:color w:val="000000" w:themeColor="text1"/>
                <w:lang w:val="en-US"/>
              </w:rPr>
            </w:pPr>
            <w:r w:rsidRPr="722CB157">
              <w:rPr>
                <w:color w:val="000000" w:themeColor="text1"/>
                <w:lang w:val="en-US"/>
              </w:rPr>
              <w:t>28</w:t>
            </w:r>
            <w:r w:rsidRPr="722CB157">
              <w:rPr>
                <w:color w:val="000000" w:themeColor="text1"/>
                <w:vertAlign w:val="superscript"/>
                <w:lang w:val="en-US"/>
              </w:rPr>
              <w:t>th</w:t>
            </w:r>
            <w:r w:rsidRPr="722CB157">
              <w:rPr>
                <w:color w:val="000000" w:themeColor="text1"/>
                <w:lang w:val="en-US"/>
              </w:rPr>
              <w:t xml:space="preserve"> February 2025</w:t>
            </w:r>
          </w:p>
        </w:tc>
      </w:tr>
      <w:tr w:rsidR="722CB157" w:rsidTr="722CB157" w14:paraId="0A7B66DA" w14:textId="77777777">
        <w:trPr>
          <w:trHeight w:val="300"/>
        </w:trPr>
        <w:tc>
          <w:tcPr>
            <w:tcW w:w="1545" w:type="dxa"/>
            <w:vMerge/>
          </w:tcPr>
          <w:p w:rsidR="000E4B33" w:rsidRDefault="000E4B33" w14:paraId="77E5BC48" w14:textId="77777777"/>
        </w:tc>
        <w:tc>
          <w:tcPr>
            <w:tcW w:w="4500" w:type="dxa"/>
          </w:tcPr>
          <w:p w:rsidR="722CB157" w:rsidP="722CB157" w:rsidRDefault="722CB157" w14:paraId="69CEB669" w14:textId="5BADF900">
            <w:pPr>
              <w:rPr>
                <w:color w:val="000000" w:themeColor="text1"/>
                <w:lang w:val="en-US"/>
              </w:rPr>
            </w:pPr>
            <w:r w:rsidRPr="722CB157">
              <w:rPr>
                <w:color w:val="000000" w:themeColor="text1"/>
                <w:u w:val="single"/>
                <w:lang w:val="en-US"/>
              </w:rPr>
              <w:t xml:space="preserve">Semi-Annual: </w:t>
            </w:r>
            <w:r w:rsidRPr="722CB157">
              <w:rPr>
                <w:color w:val="000000" w:themeColor="text1"/>
                <w:lang w:val="en-US"/>
              </w:rPr>
              <w:t>1</w:t>
            </w:r>
            <w:r w:rsidRPr="722CB157">
              <w:rPr>
                <w:color w:val="000000" w:themeColor="text1"/>
                <w:vertAlign w:val="superscript"/>
                <w:lang w:val="en-US"/>
              </w:rPr>
              <w:t>st</w:t>
            </w:r>
            <w:r w:rsidRPr="722CB157">
              <w:rPr>
                <w:color w:val="000000" w:themeColor="text1"/>
                <w:lang w:val="en-US"/>
              </w:rPr>
              <w:t xml:space="preserve"> January – 30</w:t>
            </w:r>
            <w:r w:rsidRPr="722CB157">
              <w:rPr>
                <w:color w:val="000000" w:themeColor="text1"/>
                <w:vertAlign w:val="superscript"/>
                <w:lang w:val="en-US"/>
              </w:rPr>
              <w:t>th</w:t>
            </w:r>
            <w:r w:rsidRPr="722CB157">
              <w:rPr>
                <w:color w:val="000000" w:themeColor="text1"/>
                <w:lang w:val="en-US"/>
              </w:rPr>
              <w:t xml:space="preserve"> July 2025</w:t>
            </w:r>
          </w:p>
        </w:tc>
        <w:tc>
          <w:tcPr>
            <w:tcW w:w="3728" w:type="dxa"/>
          </w:tcPr>
          <w:p w:rsidR="722CB157" w:rsidP="722CB157" w:rsidRDefault="722CB157" w14:paraId="51E2D7BC" w14:textId="5BCCD85F">
            <w:pPr>
              <w:rPr>
                <w:color w:val="000000" w:themeColor="text1"/>
                <w:lang w:val="en-US"/>
              </w:rPr>
            </w:pPr>
            <w:r w:rsidRPr="722CB157">
              <w:rPr>
                <w:color w:val="000000" w:themeColor="text1"/>
                <w:lang w:val="en-US"/>
              </w:rPr>
              <w:t>20</w:t>
            </w:r>
            <w:r w:rsidRPr="722CB157">
              <w:rPr>
                <w:color w:val="000000" w:themeColor="text1"/>
                <w:vertAlign w:val="superscript"/>
                <w:lang w:val="en-US"/>
              </w:rPr>
              <w:t>th</w:t>
            </w:r>
            <w:r w:rsidRPr="722CB157">
              <w:rPr>
                <w:color w:val="000000" w:themeColor="text1"/>
                <w:lang w:val="en-US"/>
              </w:rPr>
              <w:t xml:space="preserve"> August 2025</w:t>
            </w:r>
          </w:p>
        </w:tc>
      </w:tr>
      <w:tr w:rsidR="722CB157" w:rsidTr="722CB157" w14:paraId="7EC07A9C" w14:textId="77777777">
        <w:trPr>
          <w:trHeight w:val="300"/>
        </w:trPr>
        <w:tc>
          <w:tcPr>
            <w:tcW w:w="1545" w:type="dxa"/>
            <w:vMerge/>
          </w:tcPr>
          <w:p w:rsidR="000E4B33" w:rsidRDefault="000E4B33" w14:paraId="5FFC84F1" w14:textId="77777777"/>
        </w:tc>
        <w:tc>
          <w:tcPr>
            <w:tcW w:w="4500" w:type="dxa"/>
          </w:tcPr>
          <w:p w:rsidR="722CB157" w:rsidP="722CB157" w:rsidRDefault="722CB157" w14:paraId="1349BBD1" w14:textId="6F8441CA">
            <w:pPr>
              <w:rPr>
                <w:color w:val="000000" w:themeColor="text1"/>
                <w:lang w:val="en-US"/>
              </w:rPr>
            </w:pPr>
            <w:r w:rsidRPr="722CB157">
              <w:rPr>
                <w:color w:val="000000" w:themeColor="text1"/>
                <w:u w:val="single"/>
                <w:lang w:val="en-US"/>
              </w:rPr>
              <w:t>Annual:</w:t>
            </w:r>
            <w:r w:rsidRPr="722CB157">
              <w:rPr>
                <w:color w:val="000000" w:themeColor="text1"/>
                <w:lang w:val="en-US"/>
              </w:rPr>
              <w:t xml:space="preserve"> 1</w:t>
            </w:r>
            <w:r w:rsidRPr="722CB157">
              <w:rPr>
                <w:color w:val="000000" w:themeColor="text1"/>
                <w:vertAlign w:val="superscript"/>
                <w:lang w:val="en-US"/>
              </w:rPr>
              <w:t>st</w:t>
            </w:r>
            <w:r w:rsidRPr="722CB157">
              <w:rPr>
                <w:color w:val="000000" w:themeColor="text1"/>
                <w:lang w:val="en-US"/>
              </w:rPr>
              <w:t xml:space="preserve"> January – 31</w:t>
            </w:r>
            <w:r w:rsidRPr="722CB157">
              <w:rPr>
                <w:color w:val="000000" w:themeColor="text1"/>
                <w:vertAlign w:val="superscript"/>
                <w:lang w:val="en-US"/>
              </w:rPr>
              <w:t>st</w:t>
            </w:r>
            <w:r w:rsidRPr="722CB157">
              <w:rPr>
                <w:color w:val="000000" w:themeColor="text1"/>
                <w:lang w:val="en-US"/>
              </w:rPr>
              <w:t xml:space="preserve"> December 2025</w:t>
            </w:r>
          </w:p>
        </w:tc>
        <w:tc>
          <w:tcPr>
            <w:tcW w:w="3728" w:type="dxa"/>
          </w:tcPr>
          <w:p w:rsidR="722CB157" w:rsidP="722CB157" w:rsidRDefault="722CB157" w14:paraId="1CFD35D3" w14:textId="1F3E8594">
            <w:pPr>
              <w:rPr>
                <w:color w:val="000000" w:themeColor="text1"/>
                <w:lang w:val="en-US"/>
              </w:rPr>
            </w:pPr>
            <w:r w:rsidRPr="722CB157">
              <w:rPr>
                <w:color w:val="000000" w:themeColor="text1"/>
                <w:lang w:val="en-US"/>
              </w:rPr>
              <w:t>28</w:t>
            </w:r>
            <w:r w:rsidRPr="722CB157">
              <w:rPr>
                <w:color w:val="000000" w:themeColor="text1"/>
                <w:vertAlign w:val="superscript"/>
                <w:lang w:val="en-US"/>
              </w:rPr>
              <w:t>th</w:t>
            </w:r>
            <w:r w:rsidRPr="722CB157">
              <w:rPr>
                <w:color w:val="000000" w:themeColor="text1"/>
                <w:lang w:val="en-US"/>
              </w:rPr>
              <w:t xml:space="preserve"> February 2026</w:t>
            </w:r>
          </w:p>
        </w:tc>
      </w:tr>
      <w:tr w:rsidR="38E51C4A" w:rsidTr="722CB157" w14:paraId="7D9C8B2A" w14:textId="77777777">
        <w:trPr>
          <w:trHeight w:val="300"/>
        </w:trPr>
        <w:tc>
          <w:tcPr>
            <w:tcW w:w="1545" w:type="dxa"/>
          </w:tcPr>
          <w:p w:rsidR="38E51C4A" w:rsidP="722CB157" w:rsidRDefault="722CB157" w14:paraId="661C1F0A" w14:textId="5A91C30F">
            <w:pPr>
              <w:rPr>
                <w:b/>
                <w:bCs/>
                <w:color w:val="000000" w:themeColor="text1"/>
                <w:lang w:val="en-US"/>
              </w:rPr>
            </w:pPr>
            <w:r w:rsidRPr="722CB157">
              <w:rPr>
                <w:b/>
                <w:bCs/>
                <w:color w:val="000000" w:themeColor="text1"/>
                <w:lang w:val="en-US"/>
              </w:rPr>
              <w:t>Financial Reports</w:t>
            </w:r>
          </w:p>
        </w:tc>
        <w:tc>
          <w:tcPr>
            <w:tcW w:w="4500" w:type="dxa"/>
          </w:tcPr>
          <w:p w:rsidR="38E51C4A" w:rsidP="722CB157" w:rsidRDefault="722CB157" w14:paraId="305D6B0D" w14:textId="77ED9779">
            <w:pPr>
              <w:rPr>
                <w:color w:val="000000" w:themeColor="text1"/>
                <w:lang w:val="en-US"/>
              </w:rPr>
            </w:pPr>
            <w:r w:rsidRPr="722CB157">
              <w:rPr>
                <w:color w:val="000000" w:themeColor="text1"/>
                <w:u w:val="single"/>
                <w:lang w:val="en-US"/>
              </w:rPr>
              <w:t>Quarterly:</w:t>
            </w:r>
            <w:r w:rsidRPr="722CB157">
              <w:rPr>
                <w:color w:val="000000" w:themeColor="text1"/>
                <w:lang w:val="en-US"/>
              </w:rPr>
              <w:t xml:space="preserve"> 1</w:t>
            </w:r>
            <w:r w:rsidRPr="722CB157">
              <w:rPr>
                <w:color w:val="000000" w:themeColor="text1"/>
                <w:vertAlign w:val="superscript"/>
                <w:lang w:val="en-US"/>
              </w:rPr>
              <w:t>st</w:t>
            </w:r>
            <w:r w:rsidRPr="722CB157">
              <w:rPr>
                <w:color w:val="000000" w:themeColor="text1"/>
                <w:lang w:val="en-US"/>
              </w:rPr>
              <w:t xml:space="preserve"> September-31</w:t>
            </w:r>
            <w:r w:rsidRPr="722CB157">
              <w:rPr>
                <w:color w:val="000000" w:themeColor="text1"/>
                <w:vertAlign w:val="superscript"/>
                <w:lang w:val="en-US"/>
              </w:rPr>
              <w:t>st</w:t>
            </w:r>
            <w:r w:rsidRPr="722CB157">
              <w:rPr>
                <w:color w:val="000000" w:themeColor="text1"/>
                <w:lang w:val="en-US"/>
              </w:rPr>
              <w:t xml:space="preserve"> December 2024</w:t>
            </w:r>
          </w:p>
        </w:tc>
        <w:tc>
          <w:tcPr>
            <w:tcW w:w="3728" w:type="dxa"/>
          </w:tcPr>
          <w:p w:rsidR="38E51C4A" w:rsidP="722CB157" w:rsidRDefault="722CB157" w14:paraId="20588FEC" w14:textId="1991DA57">
            <w:pPr>
              <w:rPr>
                <w:color w:val="000000" w:themeColor="text1"/>
                <w:lang w:val="en-US"/>
              </w:rPr>
            </w:pPr>
            <w:r w:rsidRPr="722CB157">
              <w:rPr>
                <w:color w:val="000000" w:themeColor="text1"/>
                <w:lang w:val="en-US"/>
              </w:rPr>
              <w:t>20</w:t>
            </w:r>
            <w:r w:rsidRPr="722CB157">
              <w:rPr>
                <w:color w:val="000000" w:themeColor="text1"/>
                <w:vertAlign w:val="superscript"/>
                <w:lang w:val="en-US"/>
              </w:rPr>
              <w:t>th</w:t>
            </w:r>
            <w:r w:rsidRPr="722CB157">
              <w:rPr>
                <w:color w:val="000000" w:themeColor="text1"/>
                <w:lang w:val="en-US"/>
              </w:rPr>
              <w:t xml:space="preserve"> January 2025</w:t>
            </w:r>
          </w:p>
        </w:tc>
      </w:tr>
      <w:tr w:rsidR="722CB157" w:rsidTr="722CB157" w14:paraId="3FB04845" w14:textId="77777777">
        <w:trPr>
          <w:trHeight w:val="300"/>
        </w:trPr>
        <w:tc>
          <w:tcPr>
            <w:tcW w:w="1545" w:type="dxa"/>
          </w:tcPr>
          <w:p w:rsidR="722CB157" w:rsidP="722CB157" w:rsidRDefault="722CB157" w14:paraId="3E955FDC" w14:textId="06FFB510">
            <w:pPr>
              <w:rPr>
                <w:b/>
                <w:bCs/>
                <w:color w:val="000000" w:themeColor="text1"/>
                <w:lang w:val="en-US"/>
              </w:rPr>
            </w:pPr>
          </w:p>
        </w:tc>
        <w:tc>
          <w:tcPr>
            <w:tcW w:w="4500" w:type="dxa"/>
          </w:tcPr>
          <w:p w:rsidR="722CB157" w:rsidP="722CB157" w:rsidRDefault="722CB157" w14:paraId="20EC5B61" w14:textId="4E31DEF0">
            <w:pPr>
              <w:rPr>
                <w:color w:val="000000" w:themeColor="text1"/>
                <w:lang w:val="en-US"/>
              </w:rPr>
            </w:pPr>
            <w:r w:rsidRPr="722CB157">
              <w:rPr>
                <w:color w:val="000000" w:themeColor="text1"/>
                <w:u w:val="single"/>
                <w:lang w:val="en-US"/>
              </w:rPr>
              <w:t xml:space="preserve">Quarterly: </w:t>
            </w:r>
            <w:r w:rsidRPr="722CB157">
              <w:rPr>
                <w:color w:val="000000" w:themeColor="text1"/>
                <w:lang w:val="en-US"/>
              </w:rPr>
              <w:t>1</w:t>
            </w:r>
            <w:r w:rsidRPr="722CB157">
              <w:rPr>
                <w:color w:val="000000" w:themeColor="text1"/>
                <w:vertAlign w:val="superscript"/>
                <w:lang w:val="en-US"/>
              </w:rPr>
              <w:t>st</w:t>
            </w:r>
            <w:r w:rsidRPr="722CB157">
              <w:rPr>
                <w:color w:val="000000" w:themeColor="text1"/>
                <w:lang w:val="en-US"/>
              </w:rPr>
              <w:t xml:space="preserve"> January – 31</w:t>
            </w:r>
            <w:r w:rsidRPr="722CB157">
              <w:rPr>
                <w:color w:val="000000" w:themeColor="text1"/>
                <w:vertAlign w:val="superscript"/>
                <w:lang w:val="en-US"/>
              </w:rPr>
              <w:t>st</w:t>
            </w:r>
            <w:r w:rsidRPr="722CB157">
              <w:rPr>
                <w:color w:val="000000" w:themeColor="text1"/>
                <w:lang w:val="en-US"/>
              </w:rPr>
              <w:t xml:space="preserve"> March 2025</w:t>
            </w:r>
          </w:p>
        </w:tc>
        <w:tc>
          <w:tcPr>
            <w:tcW w:w="3728" w:type="dxa"/>
          </w:tcPr>
          <w:p w:rsidR="722CB157" w:rsidP="722CB157" w:rsidRDefault="722CB157" w14:paraId="2534AD4A" w14:textId="1CD0A1AA">
            <w:pPr>
              <w:rPr>
                <w:color w:val="000000" w:themeColor="text1"/>
                <w:lang w:val="en-US"/>
              </w:rPr>
            </w:pPr>
            <w:r w:rsidRPr="722CB157">
              <w:rPr>
                <w:color w:val="000000" w:themeColor="text1"/>
                <w:lang w:val="en-US"/>
              </w:rPr>
              <w:t>20</w:t>
            </w:r>
            <w:r w:rsidRPr="722CB157">
              <w:rPr>
                <w:color w:val="000000" w:themeColor="text1"/>
                <w:vertAlign w:val="superscript"/>
                <w:lang w:val="en-US"/>
              </w:rPr>
              <w:t>th</w:t>
            </w:r>
            <w:r w:rsidRPr="722CB157">
              <w:rPr>
                <w:color w:val="000000" w:themeColor="text1"/>
                <w:lang w:val="en-US"/>
              </w:rPr>
              <w:t xml:space="preserve"> April 2025</w:t>
            </w:r>
          </w:p>
        </w:tc>
      </w:tr>
      <w:tr w:rsidR="722CB157" w:rsidTr="722CB157" w14:paraId="43718BED" w14:textId="77777777">
        <w:trPr>
          <w:trHeight w:val="300"/>
        </w:trPr>
        <w:tc>
          <w:tcPr>
            <w:tcW w:w="1545" w:type="dxa"/>
          </w:tcPr>
          <w:p w:rsidR="722CB157" w:rsidP="722CB157" w:rsidRDefault="722CB157" w14:paraId="6BBAA15E" w14:textId="23366918">
            <w:pPr>
              <w:rPr>
                <w:b/>
                <w:bCs/>
                <w:color w:val="000000" w:themeColor="text1"/>
                <w:lang w:val="en-US"/>
              </w:rPr>
            </w:pPr>
          </w:p>
        </w:tc>
        <w:tc>
          <w:tcPr>
            <w:tcW w:w="4500" w:type="dxa"/>
          </w:tcPr>
          <w:p w:rsidR="722CB157" w:rsidP="722CB157" w:rsidRDefault="722CB157" w14:paraId="5D06E39F" w14:textId="59CF6E9C">
            <w:pPr>
              <w:rPr>
                <w:color w:val="000000" w:themeColor="text1"/>
                <w:lang w:val="en-US"/>
              </w:rPr>
            </w:pPr>
            <w:r w:rsidRPr="722CB157">
              <w:rPr>
                <w:color w:val="000000" w:themeColor="text1"/>
                <w:u w:val="single"/>
                <w:lang w:val="en-US"/>
              </w:rPr>
              <w:t xml:space="preserve">Quarterly: </w:t>
            </w:r>
            <w:r w:rsidRPr="722CB157">
              <w:rPr>
                <w:color w:val="000000" w:themeColor="text1"/>
                <w:lang w:val="en-US"/>
              </w:rPr>
              <w:t>1</w:t>
            </w:r>
            <w:r w:rsidRPr="722CB157">
              <w:rPr>
                <w:color w:val="000000" w:themeColor="text1"/>
                <w:vertAlign w:val="superscript"/>
                <w:lang w:val="en-US"/>
              </w:rPr>
              <w:t>st</w:t>
            </w:r>
            <w:r w:rsidRPr="722CB157">
              <w:rPr>
                <w:color w:val="000000" w:themeColor="text1"/>
                <w:lang w:val="en-US"/>
              </w:rPr>
              <w:t xml:space="preserve"> April – 30</w:t>
            </w:r>
            <w:r w:rsidRPr="722CB157">
              <w:rPr>
                <w:color w:val="000000" w:themeColor="text1"/>
                <w:vertAlign w:val="superscript"/>
                <w:lang w:val="en-US"/>
              </w:rPr>
              <w:t>th</w:t>
            </w:r>
            <w:r w:rsidRPr="722CB157">
              <w:rPr>
                <w:color w:val="000000" w:themeColor="text1"/>
                <w:lang w:val="en-US"/>
              </w:rPr>
              <w:t xml:space="preserve"> June 2025</w:t>
            </w:r>
          </w:p>
        </w:tc>
        <w:tc>
          <w:tcPr>
            <w:tcW w:w="3728" w:type="dxa"/>
          </w:tcPr>
          <w:p w:rsidR="722CB157" w:rsidP="722CB157" w:rsidRDefault="722CB157" w14:paraId="3EEBBA42" w14:textId="05C5F176">
            <w:pPr>
              <w:rPr>
                <w:color w:val="000000" w:themeColor="text1"/>
                <w:lang w:val="en-US"/>
              </w:rPr>
            </w:pPr>
            <w:r w:rsidRPr="722CB157">
              <w:rPr>
                <w:color w:val="000000" w:themeColor="text1"/>
                <w:lang w:val="en-US"/>
              </w:rPr>
              <w:t>20</w:t>
            </w:r>
            <w:r w:rsidRPr="722CB157">
              <w:rPr>
                <w:color w:val="000000" w:themeColor="text1"/>
                <w:vertAlign w:val="superscript"/>
                <w:lang w:val="en-US"/>
              </w:rPr>
              <w:t>th</w:t>
            </w:r>
            <w:r w:rsidRPr="722CB157">
              <w:rPr>
                <w:color w:val="000000" w:themeColor="text1"/>
                <w:lang w:val="en-US"/>
              </w:rPr>
              <w:t xml:space="preserve"> July 2025</w:t>
            </w:r>
          </w:p>
        </w:tc>
      </w:tr>
      <w:tr w:rsidR="722CB157" w:rsidTr="722CB157" w14:paraId="741E7EA2" w14:textId="77777777">
        <w:trPr>
          <w:trHeight w:val="300"/>
        </w:trPr>
        <w:tc>
          <w:tcPr>
            <w:tcW w:w="1545" w:type="dxa"/>
          </w:tcPr>
          <w:p w:rsidR="722CB157" w:rsidP="722CB157" w:rsidRDefault="722CB157" w14:paraId="78C6A5EA" w14:textId="55398DB4">
            <w:pPr>
              <w:rPr>
                <w:b/>
                <w:bCs/>
                <w:color w:val="000000" w:themeColor="text1"/>
                <w:lang w:val="en-US"/>
              </w:rPr>
            </w:pPr>
          </w:p>
        </w:tc>
        <w:tc>
          <w:tcPr>
            <w:tcW w:w="4500" w:type="dxa"/>
          </w:tcPr>
          <w:p w:rsidR="722CB157" w:rsidP="722CB157" w:rsidRDefault="722CB157" w14:paraId="6E78362E" w14:textId="623795AA">
            <w:pPr>
              <w:rPr>
                <w:color w:val="000000" w:themeColor="text1"/>
                <w:lang w:val="en-US"/>
              </w:rPr>
            </w:pPr>
            <w:r w:rsidRPr="722CB157">
              <w:rPr>
                <w:color w:val="000000" w:themeColor="text1"/>
                <w:u w:val="single"/>
                <w:lang w:val="en-US"/>
              </w:rPr>
              <w:t xml:space="preserve">Quarterly: </w:t>
            </w:r>
            <w:r w:rsidRPr="722CB157">
              <w:rPr>
                <w:color w:val="000000" w:themeColor="text1"/>
                <w:lang w:val="en-US"/>
              </w:rPr>
              <w:t>1</w:t>
            </w:r>
            <w:r w:rsidRPr="722CB157">
              <w:rPr>
                <w:color w:val="000000" w:themeColor="text1"/>
                <w:vertAlign w:val="superscript"/>
                <w:lang w:val="en-US"/>
              </w:rPr>
              <w:t>st</w:t>
            </w:r>
            <w:r w:rsidRPr="722CB157">
              <w:rPr>
                <w:color w:val="000000" w:themeColor="text1"/>
                <w:lang w:val="en-US"/>
              </w:rPr>
              <w:t xml:space="preserve"> July – 30</w:t>
            </w:r>
            <w:r w:rsidRPr="722CB157">
              <w:rPr>
                <w:color w:val="000000" w:themeColor="text1"/>
                <w:vertAlign w:val="superscript"/>
                <w:lang w:val="en-US"/>
              </w:rPr>
              <w:t>th</w:t>
            </w:r>
            <w:r w:rsidRPr="722CB157">
              <w:rPr>
                <w:color w:val="000000" w:themeColor="text1"/>
                <w:lang w:val="en-US"/>
              </w:rPr>
              <w:t xml:space="preserve"> September 2025</w:t>
            </w:r>
          </w:p>
        </w:tc>
        <w:tc>
          <w:tcPr>
            <w:tcW w:w="3728" w:type="dxa"/>
          </w:tcPr>
          <w:p w:rsidR="722CB157" w:rsidP="722CB157" w:rsidRDefault="722CB157" w14:paraId="56018850" w14:textId="0EDAF311">
            <w:pPr>
              <w:rPr>
                <w:color w:val="000000" w:themeColor="text1"/>
                <w:lang w:val="en-US"/>
              </w:rPr>
            </w:pPr>
            <w:r w:rsidRPr="722CB157">
              <w:rPr>
                <w:color w:val="000000" w:themeColor="text1"/>
                <w:lang w:val="en-US"/>
              </w:rPr>
              <w:t>20</w:t>
            </w:r>
            <w:r w:rsidRPr="722CB157">
              <w:rPr>
                <w:color w:val="000000" w:themeColor="text1"/>
                <w:vertAlign w:val="superscript"/>
                <w:lang w:val="en-US"/>
              </w:rPr>
              <w:t>th</w:t>
            </w:r>
            <w:r w:rsidRPr="722CB157">
              <w:rPr>
                <w:color w:val="000000" w:themeColor="text1"/>
                <w:lang w:val="en-US"/>
              </w:rPr>
              <w:t xml:space="preserve"> October 2025</w:t>
            </w:r>
            <w:r w:rsidRPr="722CB157">
              <w:rPr>
                <w:color w:val="000000" w:themeColor="text1"/>
                <w:vertAlign w:val="superscript"/>
                <w:lang w:val="en-US"/>
              </w:rPr>
              <w:t xml:space="preserve"> </w:t>
            </w:r>
          </w:p>
        </w:tc>
      </w:tr>
      <w:tr w:rsidR="722CB157" w:rsidTr="722CB157" w14:paraId="0846689A" w14:textId="77777777">
        <w:trPr>
          <w:trHeight w:val="300"/>
        </w:trPr>
        <w:tc>
          <w:tcPr>
            <w:tcW w:w="1545" w:type="dxa"/>
          </w:tcPr>
          <w:p w:rsidR="722CB157" w:rsidP="722CB157" w:rsidRDefault="722CB157" w14:paraId="615C4689" w14:textId="797C7820">
            <w:pPr>
              <w:rPr>
                <w:b/>
                <w:bCs/>
                <w:color w:val="000000" w:themeColor="text1"/>
                <w:lang w:val="en-US"/>
              </w:rPr>
            </w:pPr>
          </w:p>
        </w:tc>
        <w:tc>
          <w:tcPr>
            <w:tcW w:w="4500" w:type="dxa"/>
          </w:tcPr>
          <w:p w:rsidR="722CB157" w:rsidP="722CB157" w:rsidRDefault="722CB157" w14:paraId="0792E3A0" w14:textId="2F6FFE86">
            <w:pPr>
              <w:rPr>
                <w:color w:val="000000" w:themeColor="text1"/>
                <w:lang w:val="en-US"/>
              </w:rPr>
            </w:pPr>
            <w:r w:rsidRPr="722CB157">
              <w:rPr>
                <w:color w:val="000000" w:themeColor="text1"/>
                <w:u w:val="single"/>
                <w:lang w:val="en-US"/>
              </w:rPr>
              <w:t xml:space="preserve">Quarterly: </w:t>
            </w:r>
            <w:r w:rsidRPr="722CB157">
              <w:rPr>
                <w:color w:val="000000" w:themeColor="text1"/>
                <w:lang w:val="en-US"/>
              </w:rPr>
              <w:t>1</w:t>
            </w:r>
            <w:r w:rsidRPr="722CB157">
              <w:rPr>
                <w:color w:val="000000" w:themeColor="text1"/>
                <w:vertAlign w:val="superscript"/>
                <w:lang w:val="en-US"/>
              </w:rPr>
              <w:t>st</w:t>
            </w:r>
            <w:r w:rsidRPr="722CB157">
              <w:rPr>
                <w:color w:val="000000" w:themeColor="text1"/>
                <w:lang w:val="en-US"/>
              </w:rPr>
              <w:t xml:space="preserve"> October – 31</w:t>
            </w:r>
            <w:r w:rsidRPr="722CB157">
              <w:rPr>
                <w:color w:val="000000" w:themeColor="text1"/>
                <w:vertAlign w:val="superscript"/>
                <w:lang w:val="en-US"/>
              </w:rPr>
              <w:t>st</w:t>
            </w:r>
            <w:r w:rsidRPr="722CB157">
              <w:rPr>
                <w:color w:val="000000" w:themeColor="text1"/>
                <w:lang w:val="en-US"/>
              </w:rPr>
              <w:t xml:space="preserve"> December 2025</w:t>
            </w:r>
          </w:p>
        </w:tc>
        <w:tc>
          <w:tcPr>
            <w:tcW w:w="3728" w:type="dxa"/>
          </w:tcPr>
          <w:p w:rsidR="722CB157" w:rsidP="722CB157" w:rsidRDefault="722CB157" w14:paraId="61FF05BA" w14:textId="2703AC81">
            <w:pPr>
              <w:rPr>
                <w:color w:val="000000" w:themeColor="text1"/>
                <w:lang w:val="en-US"/>
              </w:rPr>
            </w:pPr>
            <w:r w:rsidRPr="722CB157">
              <w:rPr>
                <w:color w:val="000000" w:themeColor="text1"/>
                <w:lang w:val="en-US"/>
              </w:rPr>
              <w:t>20</w:t>
            </w:r>
            <w:r w:rsidRPr="722CB157">
              <w:rPr>
                <w:color w:val="000000" w:themeColor="text1"/>
                <w:vertAlign w:val="superscript"/>
                <w:lang w:val="en-US"/>
              </w:rPr>
              <w:t>th</w:t>
            </w:r>
            <w:r w:rsidRPr="722CB157">
              <w:rPr>
                <w:color w:val="000000" w:themeColor="text1"/>
                <w:lang w:val="en-US"/>
              </w:rPr>
              <w:t xml:space="preserve"> January 2026</w:t>
            </w:r>
          </w:p>
        </w:tc>
      </w:tr>
    </w:tbl>
    <w:p w:rsidR="38E51C4A" w:rsidP="38E51C4A" w:rsidRDefault="38E51C4A" w14:paraId="044D0107" w14:textId="04BBF4CB">
      <w:pPr>
        <w:rPr>
          <w:b/>
          <w:bCs/>
          <w:color w:val="538135" w:themeColor="accent6" w:themeShade="BF"/>
          <w:sz w:val="28"/>
          <w:szCs w:val="28"/>
          <w:lang w:val="en-US"/>
        </w:rPr>
      </w:pPr>
    </w:p>
    <w:p w:rsidR="00E045B5" w:rsidP="59C84E19" w:rsidRDefault="59C84E19" w14:paraId="1E773AE6" w14:textId="7B3B0970">
      <w:pPr>
        <w:rPr>
          <w:b/>
          <w:bCs/>
          <w:color w:val="538135" w:themeColor="accent6" w:themeShade="BF"/>
          <w:sz w:val="28"/>
          <w:szCs w:val="28"/>
          <w:lang w:val="en-US"/>
        </w:rPr>
      </w:pPr>
      <w:r w:rsidRPr="59C84E19">
        <w:rPr>
          <w:b/>
          <w:bCs/>
          <w:color w:val="538135" w:themeColor="accent6" w:themeShade="BF"/>
          <w:sz w:val="28"/>
          <w:szCs w:val="28"/>
          <w:lang w:val="en-US"/>
        </w:rPr>
        <w:t>Qualification criteria for suppliers</w:t>
      </w:r>
    </w:p>
    <w:p w:rsidR="00616EC5" w:rsidP="00616EC5" w:rsidRDefault="00616EC5" w14:paraId="39C3944D" w14:textId="77777777">
      <w:pPr>
        <w:rPr>
          <w:b/>
          <w:bCs/>
          <w:lang w:val="en-US"/>
        </w:rPr>
      </w:pPr>
      <w:r w:rsidRPr="0F33F450">
        <w:rPr>
          <w:b/>
          <w:bCs/>
          <w:lang w:val="en-US"/>
        </w:rPr>
        <w:t xml:space="preserve">Qualifications </w:t>
      </w:r>
    </w:p>
    <w:p w:rsidR="00616EC5" w:rsidP="00616EC5" w:rsidRDefault="008142AE" w14:paraId="1F1D0EDE" w14:textId="63049C02">
      <w:pPr>
        <w:pStyle w:val="Listeafsnit"/>
        <w:numPr>
          <w:ilvl w:val="0"/>
          <w:numId w:val="18"/>
        </w:numPr>
        <w:rPr>
          <w:rFonts w:ascii="Calibri" w:hAnsi="Calibri" w:eastAsia="Calibri" w:cs="Calibri"/>
          <w:lang w:val="en-US"/>
        </w:rPr>
      </w:pPr>
      <w:r>
        <w:rPr>
          <w:rFonts w:ascii="Calibri" w:hAnsi="Calibri" w:eastAsia="Calibri" w:cs="Calibri"/>
          <w:lang w:val="en-US"/>
        </w:rPr>
        <w:t xml:space="preserve">Team </w:t>
      </w:r>
      <w:r w:rsidR="00C372D5">
        <w:rPr>
          <w:rFonts w:ascii="Calibri" w:hAnsi="Calibri" w:eastAsia="Calibri" w:cs="Calibri"/>
          <w:lang w:val="en-US"/>
        </w:rPr>
        <w:t>members</w:t>
      </w:r>
      <w:r>
        <w:rPr>
          <w:rFonts w:ascii="Calibri" w:hAnsi="Calibri" w:eastAsia="Calibri" w:cs="Calibri"/>
          <w:lang w:val="en-US"/>
        </w:rPr>
        <w:t xml:space="preserve"> with </w:t>
      </w:r>
      <w:proofErr w:type="gramStart"/>
      <w:r w:rsidRPr="2CE4AF44" w:rsidR="00616EC5">
        <w:rPr>
          <w:rFonts w:ascii="Calibri" w:hAnsi="Calibri" w:eastAsia="Calibri" w:cs="Calibri"/>
          <w:lang w:val="en-US"/>
        </w:rPr>
        <w:t>Master’s degree in Law</w:t>
      </w:r>
      <w:proofErr w:type="gramEnd"/>
      <w:r w:rsidRPr="2CE4AF44" w:rsidR="00616EC5">
        <w:rPr>
          <w:rFonts w:ascii="Calibri" w:hAnsi="Calibri" w:eastAsia="Calibri" w:cs="Calibri"/>
          <w:lang w:val="en-US"/>
        </w:rPr>
        <w:t xml:space="preserve">, human rights, gender, international relations, international development, international law or other social science fields is required; A first-level university degree in combination with two additional years of qualifying experience may be accepted in lieu of the advanced university degree; </w:t>
      </w:r>
    </w:p>
    <w:p w:rsidRPr="003C3B63" w:rsidR="00616EC5" w:rsidP="00616EC5" w:rsidRDefault="00DA0623" w14:paraId="38D00A4E" w14:textId="598899F8">
      <w:pPr>
        <w:pStyle w:val="Listeafsnit"/>
        <w:numPr>
          <w:ilvl w:val="0"/>
          <w:numId w:val="18"/>
        </w:numPr>
        <w:rPr>
          <w:rFonts w:ascii="Calibri" w:hAnsi="Calibri" w:eastAsia="Calibri" w:cs="Calibri"/>
          <w:lang w:val="en-US"/>
        </w:rPr>
      </w:pPr>
      <w:r>
        <w:rPr>
          <w:rFonts w:ascii="Calibri" w:hAnsi="Calibri" w:eastAsia="Calibri" w:cs="Calibri"/>
          <w:lang w:val="en-US"/>
        </w:rPr>
        <w:t xml:space="preserve">Team </w:t>
      </w:r>
      <w:r w:rsidR="00C372D5">
        <w:rPr>
          <w:rFonts w:ascii="Calibri" w:hAnsi="Calibri" w:eastAsia="Calibri" w:cs="Calibri"/>
          <w:lang w:val="en-US"/>
        </w:rPr>
        <w:t>members</w:t>
      </w:r>
      <w:r>
        <w:rPr>
          <w:rFonts w:ascii="Calibri" w:hAnsi="Calibri" w:eastAsia="Calibri" w:cs="Calibri"/>
          <w:lang w:val="en-US"/>
        </w:rPr>
        <w:t xml:space="preserve"> with </w:t>
      </w:r>
      <w:r w:rsidR="00C372D5">
        <w:rPr>
          <w:rFonts w:ascii="Calibri" w:hAnsi="Calibri" w:eastAsia="Calibri" w:cs="Calibri"/>
          <w:lang w:val="en-US"/>
        </w:rPr>
        <w:t xml:space="preserve">each </w:t>
      </w:r>
      <w:r>
        <w:rPr>
          <w:rFonts w:ascii="Calibri" w:hAnsi="Calibri" w:eastAsia="Calibri" w:cs="Calibri"/>
          <w:lang w:val="en-US"/>
        </w:rPr>
        <w:t>a</w:t>
      </w:r>
      <w:r w:rsidRPr="30ECDC88" w:rsidR="00616EC5">
        <w:rPr>
          <w:rFonts w:ascii="Calibri" w:hAnsi="Calibri" w:eastAsia="Calibri" w:cs="Calibri"/>
          <w:lang w:val="en-US"/>
        </w:rPr>
        <w:t xml:space="preserve">t least 5 years of progressively responsible experience in designing and implementing </w:t>
      </w:r>
      <w:r w:rsidR="008342F4">
        <w:rPr>
          <w:rFonts w:ascii="Calibri" w:hAnsi="Calibri" w:eastAsia="Calibri" w:cs="Calibri"/>
          <w:lang w:val="en-US"/>
        </w:rPr>
        <w:t xml:space="preserve">Women, Peace and Security </w:t>
      </w:r>
      <w:r w:rsidRPr="30ECDC88" w:rsidR="00616EC5">
        <w:rPr>
          <w:rFonts w:ascii="Calibri" w:hAnsi="Calibri" w:eastAsia="Calibri" w:cs="Calibri"/>
          <w:lang w:val="en-US"/>
        </w:rPr>
        <w:t>programming</w:t>
      </w:r>
      <w:r w:rsidR="008342F4">
        <w:rPr>
          <w:rFonts w:ascii="Calibri" w:hAnsi="Calibri" w:eastAsia="Calibri" w:cs="Calibri"/>
          <w:lang w:val="en-US"/>
        </w:rPr>
        <w:t xml:space="preserve"> and policy</w:t>
      </w:r>
      <w:r w:rsidR="00C372D5">
        <w:rPr>
          <w:rFonts w:ascii="Calibri" w:hAnsi="Calibri" w:eastAsia="Calibri" w:cs="Calibri"/>
          <w:lang w:val="en-US"/>
        </w:rPr>
        <w:t>/advocacy</w:t>
      </w:r>
      <w:r w:rsidR="008342F4">
        <w:rPr>
          <w:rFonts w:ascii="Calibri" w:hAnsi="Calibri" w:eastAsia="Calibri" w:cs="Calibri"/>
          <w:lang w:val="en-US"/>
        </w:rPr>
        <w:t xml:space="preserve"> </w:t>
      </w:r>
      <w:proofErr w:type="gramStart"/>
      <w:r w:rsidR="008342F4">
        <w:rPr>
          <w:rFonts w:ascii="Calibri" w:hAnsi="Calibri" w:eastAsia="Calibri" w:cs="Calibri"/>
          <w:lang w:val="en-US"/>
        </w:rPr>
        <w:t>initiatives</w:t>
      </w:r>
      <w:r w:rsidRPr="30ECDC88" w:rsidR="00616EC5">
        <w:rPr>
          <w:rFonts w:ascii="Calibri" w:hAnsi="Calibri" w:eastAsia="Calibri" w:cs="Calibri"/>
          <w:lang w:val="en-US"/>
        </w:rPr>
        <w:t>;</w:t>
      </w:r>
      <w:proofErr w:type="gramEnd"/>
      <w:r w:rsidRPr="30ECDC88" w:rsidR="00616EC5">
        <w:rPr>
          <w:rFonts w:ascii="Calibri" w:hAnsi="Calibri" w:eastAsia="Calibri" w:cs="Calibri"/>
          <w:lang w:val="en-US"/>
        </w:rPr>
        <w:t xml:space="preserve"> </w:t>
      </w:r>
    </w:p>
    <w:p w:rsidRPr="00C372D5" w:rsidR="00616EC5" w:rsidP="00616EC5" w:rsidRDefault="00616EC5" w14:paraId="3D762B93" w14:textId="76384CBA">
      <w:pPr>
        <w:pStyle w:val="Listeafsnit"/>
        <w:numPr>
          <w:ilvl w:val="0"/>
          <w:numId w:val="18"/>
        </w:numPr>
        <w:rPr>
          <w:lang w:val="en-US"/>
        </w:rPr>
      </w:pPr>
      <w:r w:rsidRPr="2CE4AF44">
        <w:rPr>
          <w:rFonts w:ascii="Calibri" w:hAnsi="Calibri" w:eastAsia="Calibri" w:cs="Calibri"/>
          <w:lang w:val="en-US"/>
        </w:rPr>
        <w:t xml:space="preserve">Technical expertise in conducting </w:t>
      </w:r>
      <w:r w:rsidR="008342F4">
        <w:rPr>
          <w:rFonts w:ascii="Calibri" w:hAnsi="Calibri" w:eastAsia="Calibri" w:cs="Calibri"/>
          <w:lang w:val="en-US"/>
        </w:rPr>
        <w:t xml:space="preserve">participatory action </w:t>
      </w:r>
      <w:r w:rsidRPr="2CE4AF44">
        <w:rPr>
          <w:rFonts w:ascii="Calibri" w:hAnsi="Calibri" w:eastAsia="Calibri" w:cs="Calibri"/>
          <w:lang w:val="en-US"/>
        </w:rPr>
        <w:t xml:space="preserve">research and facilitating focus group discussions and key informant interviews </w:t>
      </w:r>
    </w:p>
    <w:p w:rsidRPr="003C3B63" w:rsidR="00C372D5" w:rsidP="00616EC5" w:rsidRDefault="00C372D5" w14:paraId="36926885" w14:textId="067CAF81">
      <w:pPr>
        <w:pStyle w:val="Listeafsnit"/>
        <w:numPr>
          <w:ilvl w:val="0"/>
          <w:numId w:val="18"/>
        </w:numPr>
        <w:rPr>
          <w:lang w:val="en-US"/>
        </w:rPr>
      </w:pPr>
      <w:r>
        <w:rPr>
          <w:rFonts w:ascii="Calibri" w:hAnsi="Calibri" w:eastAsia="Calibri" w:cs="Calibri"/>
          <w:lang w:val="en-US"/>
        </w:rPr>
        <w:t>Experience working with civil society in crisis/conflict-affected contexts</w:t>
      </w:r>
    </w:p>
    <w:p w:rsidR="00616EC5" w:rsidP="00616EC5" w:rsidRDefault="00616EC5" w14:paraId="797287E2" w14:textId="44D35B3E">
      <w:pPr>
        <w:pStyle w:val="Listeafsnit"/>
        <w:numPr>
          <w:ilvl w:val="0"/>
          <w:numId w:val="18"/>
        </w:numPr>
        <w:rPr>
          <w:rFonts w:ascii="Calibri" w:hAnsi="Calibri" w:eastAsia="Calibri" w:cs="Calibri"/>
          <w:lang w:val="en-US"/>
        </w:rPr>
      </w:pPr>
      <w:r w:rsidRPr="0F33F450">
        <w:rPr>
          <w:rFonts w:ascii="Calibri" w:hAnsi="Calibri" w:eastAsia="Calibri" w:cs="Calibri"/>
          <w:lang w:val="en-US"/>
        </w:rPr>
        <w:t xml:space="preserve">Technical expertise in </w:t>
      </w:r>
      <w:r w:rsidR="008342F4">
        <w:rPr>
          <w:rFonts w:ascii="Calibri" w:hAnsi="Calibri" w:eastAsia="Calibri" w:cs="Calibri"/>
          <w:lang w:val="en-US"/>
        </w:rPr>
        <w:t>feminist MEAL principles</w:t>
      </w:r>
      <w:r w:rsidRPr="0F33F450">
        <w:rPr>
          <w:rFonts w:ascii="Calibri" w:hAnsi="Calibri" w:eastAsia="Calibri" w:cs="Calibri"/>
          <w:lang w:val="en-US"/>
        </w:rPr>
        <w:t xml:space="preserve"> </w:t>
      </w:r>
    </w:p>
    <w:p w:rsidR="00616EC5" w:rsidP="00616EC5" w:rsidRDefault="00616EC5" w14:paraId="39D3CF01" w14:textId="77777777">
      <w:pPr>
        <w:pStyle w:val="Listeafsnit"/>
        <w:numPr>
          <w:ilvl w:val="0"/>
          <w:numId w:val="18"/>
        </w:numPr>
        <w:rPr>
          <w:lang w:val="en-US"/>
        </w:rPr>
      </w:pPr>
      <w:r w:rsidRPr="2CE4AF44">
        <w:rPr>
          <w:lang w:val="en-US"/>
        </w:rPr>
        <w:t>Experience working with Oxfam an asset</w:t>
      </w:r>
    </w:p>
    <w:p w:rsidR="00DA0623" w:rsidP="00616EC5" w:rsidRDefault="008342F4" w14:paraId="451A378A" w14:textId="3BE7FDAF">
      <w:pPr>
        <w:pStyle w:val="Listeafsnit"/>
        <w:numPr>
          <w:ilvl w:val="0"/>
          <w:numId w:val="18"/>
        </w:numPr>
        <w:rPr>
          <w:lang w:val="en-US"/>
        </w:rPr>
      </w:pPr>
      <w:r>
        <w:rPr>
          <w:lang w:val="en-US"/>
        </w:rPr>
        <w:t xml:space="preserve">Experience working in </w:t>
      </w:r>
      <w:r w:rsidR="00DA0623">
        <w:rPr>
          <w:lang w:val="en-US"/>
        </w:rPr>
        <w:t>West Africa</w:t>
      </w:r>
      <w:r w:rsidR="002F4A38">
        <w:rPr>
          <w:lang w:val="en-US"/>
        </w:rPr>
        <w:t xml:space="preserve"> required.</w:t>
      </w:r>
    </w:p>
    <w:p w:rsidRPr="003C3B63" w:rsidR="008342F4" w:rsidP="00616EC5" w:rsidRDefault="008342F4" w14:paraId="3600D88D" w14:textId="6029F7F4">
      <w:pPr>
        <w:pStyle w:val="Listeafsnit"/>
        <w:numPr>
          <w:ilvl w:val="0"/>
          <w:numId w:val="18"/>
        </w:numPr>
        <w:rPr>
          <w:lang w:val="en-US"/>
        </w:rPr>
      </w:pPr>
      <w:r>
        <w:rPr>
          <w:lang w:val="en-US"/>
        </w:rPr>
        <w:t>Experience working in Niger an asset</w:t>
      </w:r>
    </w:p>
    <w:p w:rsidRPr="00C02A94" w:rsidR="00616EC5" w:rsidP="00616EC5" w:rsidRDefault="00616EC5" w14:paraId="0DB93468" w14:textId="0D9A35E4">
      <w:pPr>
        <w:pStyle w:val="Listeafsnit"/>
        <w:numPr>
          <w:ilvl w:val="0"/>
          <w:numId w:val="18"/>
        </w:numPr>
        <w:rPr>
          <w:rFonts w:ascii="Calibri" w:hAnsi="Calibri" w:eastAsia="Calibri" w:cs="Calibri"/>
          <w:lang w:val="en-US"/>
        </w:rPr>
      </w:pPr>
      <w:r w:rsidRPr="00C02A94">
        <w:rPr>
          <w:rFonts w:ascii="Calibri" w:hAnsi="Calibri" w:eastAsia="Calibri" w:cs="Calibri"/>
          <w:lang w:val="en-US"/>
        </w:rPr>
        <w:t xml:space="preserve">Fluency in English </w:t>
      </w:r>
      <w:r w:rsidRPr="00C02A94" w:rsidR="00DA0623">
        <w:rPr>
          <w:rFonts w:ascii="Calibri" w:hAnsi="Calibri" w:eastAsia="Calibri" w:cs="Calibri"/>
          <w:lang w:val="en-US"/>
        </w:rPr>
        <w:t xml:space="preserve">and French </w:t>
      </w:r>
      <w:r w:rsidRPr="00C02A94">
        <w:rPr>
          <w:rFonts w:ascii="Calibri" w:hAnsi="Calibri" w:eastAsia="Calibri" w:cs="Calibri"/>
          <w:lang w:val="en-US"/>
        </w:rPr>
        <w:t xml:space="preserve">required. </w:t>
      </w:r>
    </w:p>
    <w:p w:rsidRPr="00C02A94" w:rsidR="008B5B86" w:rsidP="008B5B86" w:rsidRDefault="008B5B86" w14:paraId="73D96772" w14:textId="480440EB">
      <w:pPr>
        <w:jc w:val="both"/>
        <w:rPr>
          <w:rFonts w:ascii="Calibri" w:hAnsi="Calibri" w:eastAsia="Calibri" w:cs="Calibri"/>
          <w:b/>
          <w:bCs/>
          <w:lang w:val="en-US"/>
        </w:rPr>
      </w:pPr>
      <w:r w:rsidRPr="00C02A94">
        <w:rPr>
          <w:rFonts w:ascii="Calibri" w:hAnsi="Calibri" w:eastAsia="Calibri" w:cs="Calibri"/>
          <w:b/>
          <w:bCs/>
          <w:lang w:val="en-US"/>
        </w:rPr>
        <w:t>Compliance requirements:</w:t>
      </w:r>
    </w:p>
    <w:p w:rsidRPr="00C02A94" w:rsidR="008B5B86" w:rsidP="008B5B86" w:rsidRDefault="4F16A72D" w14:paraId="74194C0A" w14:textId="1BA0BC14">
      <w:pPr>
        <w:jc w:val="both"/>
        <w:rPr>
          <w:rFonts w:ascii="Calibri" w:hAnsi="Calibri" w:eastAsia="Calibri" w:cs="Calibri"/>
          <w:lang w:val="en-US"/>
        </w:rPr>
      </w:pPr>
      <w:r w:rsidRPr="4F16A72D">
        <w:rPr>
          <w:rFonts w:ascii="Calibri" w:hAnsi="Calibri" w:eastAsia="Calibri" w:cs="Calibri"/>
          <w:lang w:val="en-US"/>
        </w:rPr>
        <w:t>ODK imposes a requirement on all co-operating partners (including suppliers and consultants) to consider an environmentally sustainable development and that goods and services shall be produced and supplied in the most environmentally friendly way possible.  ODK also requires that fundamental human rights such as those expressed in the ILO’s Core Conventions relating to freedom of association and the right to organize, prohibition against forced labor, child labor, and discrimination are respected.  Suppliers that breach fundamental human rights shall not be accepted. Further suppliers should not be involved in tax evasion activities or tax heaven constructions. It is also a requirement that all contractual parties accept our anti-corruption provisions, which among other things prohibit bribes and corruption. Suppliers shall not be bankrupt, convicted of a crime or guilty of grave professional misconduct, or have tax debts. Danish suppliers must hold a business tax certificate. Consultants shall also comply with Oxfam’s Code of Conduct.</w:t>
      </w:r>
    </w:p>
    <w:p w:rsidRPr="00E045B5" w:rsidR="00616EC5" w:rsidP="00E045B5" w:rsidRDefault="00616EC5" w14:paraId="626A9E4C" w14:textId="77777777">
      <w:pPr>
        <w:pStyle w:val="Listeafsnit"/>
        <w:rPr>
          <w:b/>
          <w:bCs/>
          <w:color w:val="538135" w:themeColor="accent6" w:themeShade="BF"/>
          <w:sz w:val="28"/>
          <w:szCs w:val="28"/>
          <w:lang w:val="en-US"/>
        </w:rPr>
      </w:pPr>
    </w:p>
    <w:p w:rsidR="00E045B5" w:rsidP="59C84E19" w:rsidRDefault="59C84E19" w14:paraId="7B3EF489" w14:textId="32ED564A">
      <w:pPr>
        <w:rPr>
          <w:b/>
          <w:bCs/>
          <w:color w:val="538135" w:themeColor="accent6" w:themeShade="BF"/>
          <w:sz w:val="28"/>
          <w:szCs w:val="28"/>
          <w:lang w:val="en-US"/>
        </w:rPr>
      </w:pPr>
      <w:r w:rsidRPr="59C84E19">
        <w:rPr>
          <w:b/>
          <w:bCs/>
          <w:color w:val="538135" w:themeColor="accent6" w:themeShade="BF"/>
          <w:sz w:val="28"/>
          <w:szCs w:val="28"/>
          <w:lang w:val="en-US"/>
        </w:rPr>
        <w:t xml:space="preserve">Expression of Interest </w:t>
      </w:r>
    </w:p>
    <w:p w:rsidR="2575B3B7" w:rsidP="3961D38A" w:rsidRDefault="3961D38A" w14:paraId="7253D4B2" w14:textId="3A5AF9BA">
      <w:pPr>
        <w:rPr>
          <w:rFonts w:eastAsiaTheme="minorEastAsia"/>
          <w:color w:val="000000" w:themeColor="text1"/>
          <w:lang w:val="en-US"/>
        </w:rPr>
      </w:pPr>
      <w:r w:rsidRPr="3961D38A">
        <w:rPr>
          <w:rFonts w:eastAsiaTheme="minorEastAsia"/>
          <w:color w:val="000000" w:themeColor="text1"/>
          <w:lang w:val="en-GB"/>
        </w:rPr>
        <w:t xml:space="preserve">Interested consultants must submit: </w:t>
      </w:r>
    </w:p>
    <w:p w:rsidR="2575B3B7" w:rsidP="3961D38A" w:rsidRDefault="3961D38A" w14:paraId="2C386CDD" w14:textId="05258FD3">
      <w:pPr>
        <w:pStyle w:val="Listeafsnit"/>
        <w:numPr>
          <w:ilvl w:val="0"/>
          <w:numId w:val="7"/>
        </w:numPr>
        <w:jc w:val="both"/>
        <w:rPr>
          <w:rFonts w:eastAsiaTheme="minorEastAsia"/>
          <w:color w:val="000000" w:themeColor="text1"/>
          <w:lang w:val="en-US"/>
        </w:rPr>
      </w:pPr>
      <w:r w:rsidRPr="3961D38A">
        <w:rPr>
          <w:rFonts w:eastAsiaTheme="minorEastAsia"/>
          <w:color w:val="000000" w:themeColor="text1"/>
          <w:lang w:val="en-GB"/>
        </w:rPr>
        <w:t>A cover letter including an expression of interest and related experience.</w:t>
      </w:r>
    </w:p>
    <w:p w:rsidR="2575B3B7" w:rsidP="3961D38A" w:rsidRDefault="3961D38A" w14:paraId="301A0D21" w14:textId="4C42F465">
      <w:pPr>
        <w:pStyle w:val="Listeafsnit"/>
        <w:numPr>
          <w:ilvl w:val="0"/>
          <w:numId w:val="7"/>
        </w:numPr>
        <w:jc w:val="both"/>
        <w:rPr>
          <w:rFonts w:eastAsiaTheme="minorEastAsia"/>
          <w:color w:val="000000" w:themeColor="text1"/>
          <w:lang w:val="en-US"/>
        </w:rPr>
      </w:pPr>
      <w:r w:rsidRPr="3961D38A">
        <w:rPr>
          <w:rFonts w:eastAsiaTheme="minorEastAsia"/>
          <w:color w:val="000000" w:themeColor="text1"/>
          <w:lang w:val="en-GB"/>
        </w:rPr>
        <w:t xml:space="preserve">Technical proposal (maximum eight pages), including consultants understanding of the TOR, clear and elaborate workplan, CVs for all the consultant(s) proposed and proposed capacity of any complementary staff, and organizational capacity statement, experience and activities related to </w:t>
      </w:r>
      <w:r w:rsidRPr="3961D38A">
        <w:rPr>
          <w:rFonts w:eastAsiaTheme="minorEastAsia"/>
          <w:color w:val="000000" w:themeColor="text1"/>
          <w:u w:val="single"/>
          <w:lang w:val="en-GB"/>
        </w:rPr>
        <w:t>project/programme evaluations</w:t>
      </w:r>
      <w:r w:rsidRPr="3961D38A">
        <w:rPr>
          <w:rFonts w:eastAsiaTheme="minorEastAsia"/>
          <w:color w:val="000000" w:themeColor="text1"/>
          <w:lang w:val="en-GB"/>
        </w:rPr>
        <w:t xml:space="preserve">. </w:t>
      </w:r>
    </w:p>
    <w:p w:rsidR="2575B3B7" w:rsidP="4B7F169C" w:rsidRDefault="4B7F169C" w14:paraId="3324696B" w14:textId="48E76D83">
      <w:pPr>
        <w:pStyle w:val="Listeafsnit"/>
        <w:numPr>
          <w:ilvl w:val="0"/>
          <w:numId w:val="7"/>
        </w:numPr>
        <w:jc w:val="both"/>
        <w:rPr>
          <w:rFonts w:eastAsiaTheme="minorEastAsia"/>
          <w:color w:val="000000" w:themeColor="text1"/>
          <w:lang w:val="en-US"/>
        </w:rPr>
      </w:pPr>
      <w:r w:rsidRPr="4B7F169C">
        <w:rPr>
          <w:rFonts w:eastAsiaTheme="minorEastAsia"/>
          <w:color w:val="000000" w:themeColor="text1"/>
          <w:lang w:val="en-GB"/>
        </w:rPr>
        <w:t>Financial proposal (including a suggested schedule of payments).</w:t>
      </w:r>
    </w:p>
    <w:p w:rsidR="2575B3B7" w:rsidP="3961D38A" w:rsidRDefault="3961D38A" w14:paraId="4646B5DF" w14:textId="1BEFAB62">
      <w:pPr>
        <w:pStyle w:val="Listeafsnit"/>
        <w:numPr>
          <w:ilvl w:val="0"/>
          <w:numId w:val="7"/>
        </w:numPr>
        <w:jc w:val="both"/>
        <w:rPr>
          <w:rFonts w:eastAsiaTheme="minorEastAsia"/>
          <w:color w:val="000000" w:themeColor="text1"/>
          <w:lang w:val="en-US"/>
        </w:rPr>
      </w:pPr>
      <w:r w:rsidRPr="3961D38A">
        <w:rPr>
          <w:rFonts w:eastAsiaTheme="minorEastAsia"/>
          <w:color w:val="000000" w:themeColor="text1"/>
          <w:lang w:val="en-GB"/>
        </w:rPr>
        <w:lastRenderedPageBreak/>
        <w:t>Applications should include 3 organizations that will act as professional references.</w:t>
      </w:r>
    </w:p>
    <w:p w:rsidR="2575B3B7" w:rsidP="59C84E19" w:rsidRDefault="59C84E19" w14:paraId="2B7F0B2C" w14:textId="3F117B6D">
      <w:pPr>
        <w:pStyle w:val="Listeafsnit"/>
        <w:numPr>
          <w:ilvl w:val="0"/>
          <w:numId w:val="7"/>
        </w:numPr>
        <w:jc w:val="both"/>
        <w:rPr>
          <w:rFonts w:eastAsiaTheme="minorEastAsia"/>
          <w:color w:val="000000" w:themeColor="text1"/>
          <w:lang w:val="en-US"/>
        </w:rPr>
      </w:pPr>
      <w:r w:rsidRPr="59C84E19">
        <w:rPr>
          <w:rFonts w:eastAsiaTheme="minorEastAsia"/>
          <w:color w:val="000000" w:themeColor="text1"/>
          <w:lang w:val="en-GB"/>
        </w:rPr>
        <w:t xml:space="preserve">Two copies of similar samples of written work and relevant publications undertaken in the last 3 years. </w:t>
      </w:r>
    </w:p>
    <w:p w:rsidR="59C84E19" w:rsidP="59C84E19" w:rsidRDefault="59C84E19" w14:paraId="60CB01B2" w14:textId="2CE110A4">
      <w:pPr>
        <w:rPr>
          <w:rFonts w:eastAsiaTheme="minorEastAsia"/>
          <w:color w:val="000000" w:themeColor="text1"/>
          <w:lang w:val="en-US"/>
        </w:rPr>
      </w:pPr>
      <w:r w:rsidRPr="59C84E19">
        <w:rPr>
          <w:rFonts w:eastAsiaTheme="minorEastAsia"/>
          <w:color w:val="000000" w:themeColor="text1"/>
          <w:lang w:val="en-GB"/>
        </w:rPr>
        <w:t xml:space="preserve">Interested applicants must submit their proposal with all required documents merged in one standalone file including </w:t>
      </w:r>
      <w:proofErr w:type="gramStart"/>
      <w:r w:rsidRPr="59C84E19">
        <w:rPr>
          <w:rFonts w:eastAsiaTheme="minorEastAsia"/>
          <w:color w:val="000000" w:themeColor="text1"/>
          <w:lang w:val="en-GB"/>
        </w:rPr>
        <w:t>all</w:t>
      </w:r>
      <w:proofErr w:type="gramEnd"/>
      <w:r w:rsidRPr="59C84E19">
        <w:rPr>
          <w:rFonts w:eastAsiaTheme="minorEastAsia"/>
          <w:color w:val="000000" w:themeColor="text1"/>
          <w:lang w:val="en-GB"/>
        </w:rPr>
        <w:t xml:space="preserve"> them by </w:t>
      </w:r>
      <w:r w:rsidRPr="004A7576" w:rsidR="004A7576">
        <w:rPr>
          <w:rFonts w:eastAsiaTheme="minorEastAsia"/>
          <w:color w:val="000000" w:themeColor="text1"/>
          <w:u w:val="single"/>
          <w:lang w:val="en-GB"/>
        </w:rPr>
        <w:t>20</w:t>
      </w:r>
      <w:r w:rsidRPr="004A7576" w:rsidR="004A7576">
        <w:rPr>
          <w:rFonts w:eastAsiaTheme="minorEastAsia"/>
          <w:color w:val="000000" w:themeColor="text1"/>
          <w:u w:val="single"/>
          <w:vertAlign w:val="superscript"/>
          <w:lang w:val="en-GB"/>
        </w:rPr>
        <w:t>th</w:t>
      </w:r>
      <w:r w:rsidRPr="004A7576" w:rsidR="004A7576">
        <w:rPr>
          <w:rFonts w:eastAsiaTheme="minorEastAsia"/>
          <w:color w:val="000000" w:themeColor="text1"/>
          <w:u w:val="single"/>
          <w:lang w:val="en-GB"/>
        </w:rPr>
        <w:t xml:space="preserve"> </w:t>
      </w:r>
      <w:r w:rsidRPr="004A7576">
        <w:rPr>
          <w:rFonts w:eastAsiaTheme="minorEastAsia"/>
          <w:b/>
          <w:bCs/>
          <w:color w:val="000000" w:themeColor="text1"/>
          <w:u w:val="single"/>
          <w:lang w:val="en-GB"/>
        </w:rPr>
        <w:t>September 2024</w:t>
      </w:r>
      <w:r w:rsidRPr="004A7576">
        <w:rPr>
          <w:rFonts w:eastAsiaTheme="minorEastAsia"/>
          <w:color w:val="000000" w:themeColor="text1"/>
          <w:lang w:val="en-GB"/>
        </w:rPr>
        <w:t xml:space="preserve"> to</w:t>
      </w:r>
      <w:r w:rsidRPr="59C84E19">
        <w:rPr>
          <w:rFonts w:eastAsiaTheme="minorEastAsia"/>
          <w:color w:val="000000" w:themeColor="text1"/>
          <w:lang w:val="en-GB"/>
        </w:rPr>
        <w:t xml:space="preserve"> the following email: </w:t>
      </w:r>
      <w:hyperlink r:id="rId15">
        <w:r w:rsidRPr="59C84E19">
          <w:rPr>
            <w:rStyle w:val="Hyperlink"/>
            <w:rFonts w:eastAsiaTheme="minorEastAsia"/>
            <w:lang w:val="en-GB"/>
          </w:rPr>
          <w:t>procurement@oxfam.dk</w:t>
        </w:r>
      </w:hyperlink>
    </w:p>
    <w:p w:rsidR="59C84E19" w:rsidP="59C84E19" w:rsidRDefault="59C84E19" w14:paraId="6FBDF5FB" w14:textId="226D1D20">
      <w:pPr>
        <w:jc w:val="both"/>
        <w:rPr>
          <w:rFonts w:eastAsiaTheme="minorEastAsia"/>
          <w:lang w:val="en-US"/>
        </w:rPr>
      </w:pPr>
      <w:r w:rsidRPr="59C84E19">
        <w:rPr>
          <w:rFonts w:eastAsiaTheme="minorEastAsia"/>
          <w:color w:val="000000" w:themeColor="text1"/>
          <w:lang w:val="en-GB"/>
        </w:rPr>
        <w:t xml:space="preserve">Incomplete applications or applications received after the closing date will not be given consideration. Please note that only applicants who are </w:t>
      </w:r>
      <w:proofErr w:type="gramStart"/>
      <w:r w:rsidRPr="59C84E19">
        <w:rPr>
          <w:rFonts w:eastAsiaTheme="minorEastAsia"/>
          <w:color w:val="000000" w:themeColor="text1"/>
          <w:lang w:val="en-GB"/>
        </w:rPr>
        <w:t>shorted-listed</w:t>
      </w:r>
      <w:proofErr w:type="gramEnd"/>
      <w:r w:rsidRPr="59C84E19">
        <w:rPr>
          <w:rFonts w:eastAsiaTheme="minorEastAsia"/>
          <w:color w:val="000000" w:themeColor="text1"/>
          <w:lang w:val="en-GB"/>
        </w:rPr>
        <w:t xml:space="preserve"> will be contacted.</w:t>
      </w:r>
    </w:p>
    <w:p w:rsidR="59C84E19" w:rsidP="59C84E19" w:rsidRDefault="59C84E19" w14:paraId="51A12593" w14:textId="394F3DE9">
      <w:pPr>
        <w:jc w:val="both"/>
        <w:rPr>
          <w:rFonts w:eastAsiaTheme="minorEastAsia"/>
          <w:color w:val="000000" w:themeColor="text1"/>
          <w:lang w:val="en-US"/>
        </w:rPr>
      </w:pPr>
    </w:p>
    <w:p w:rsidR="00E045B5" w:rsidP="59C84E19" w:rsidRDefault="59C84E19" w14:paraId="1A4A3541" w14:textId="1992B972">
      <w:pPr>
        <w:rPr>
          <w:b/>
          <w:bCs/>
          <w:color w:val="538135" w:themeColor="accent6" w:themeShade="BF"/>
          <w:sz w:val="28"/>
          <w:szCs w:val="28"/>
          <w:lang w:val="en-US"/>
        </w:rPr>
      </w:pPr>
      <w:r w:rsidRPr="59C84E19">
        <w:rPr>
          <w:b/>
          <w:bCs/>
          <w:color w:val="538135" w:themeColor="accent6" w:themeShade="BF"/>
          <w:sz w:val="28"/>
          <w:szCs w:val="28"/>
          <w:lang w:val="en-US"/>
        </w:rPr>
        <w:t xml:space="preserve">Evaluation process </w:t>
      </w:r>
    </w:p>
    <w:p w:rsidR="00DA0623" w:rsidP="4B7F169C" w:rsidRDefault="4B7F169C" w14:paraId="4231E802" w14:textId="12FE8F49">
      <w:pPr>
        <w:rPr>
          <w:lang w:val="en-US"/>
        </w:rPr>
      </w:pPr>
      <w:r w:rsidRPr="4B7F169C">
        <w:rPr>
          <w:lang w:val="en-US"/>
        </w:rPr>
        <w:t>An internal Evaluation Committee will be established by Oxfam Denmark consisting of members of Oxfam Denmark along with members of other Oxfam Affiliates and Country Offices involved in this assignment (e.g. the Oxfam Niger Country Office).</w:t>
      </w:r>
    </w:p>
    <w:p w:rsidRPr="00A6271C" w:rsidR="00FD04F3" w:rsidP="4B7F169C" w:rsidRDefault="59C84E19" w14:paraId="419830E4" w14:textId="7CCA9833">
      <w:pPr>
        <w:jc w:val="both"/>
        <w:rPr>
          <w:rFonts w:eastAsiaTheme="minorEastAsia"/>
          <w:color w:val="000000" w:themeColor="text1"/>
          <w:lang w:val="en-US"/>
        </w:rPr>
      </w:pPr>
      <w:r w:rsidRPr="59C84E19">
        <w:rPr>
          <w:rFonts w:eastAsiaTheme="minorEastAsia"/>
          <w:color w:val="000000" w:themeColor="text1"/>
          <w:lang w:val="en-GB"/>
        </w:rPr>
        <w:t>Criteria for Evaluation of Proposal: Only those applications which are responsive and compliant will be evaluated. Offers will be evaluated according to the combined scoring method – where the educational background and experience on similar assignments will be weighted at 70% and the price proposal will weigh as 30% of the total scoring. The applicant(s) receiving the Highest Combined Score may be invited for interviews.</w:t>
      </w:r>
    </w:p>
    <w:sectPr w:rsidRPr="00A6271C" w:rsidR="00FD04F3">
      <w:pgSz w:w="11906" w:h="16838" w:orient="portrait"/>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D6B60" w:rsidP="00A0121C" w:rsidRDefault="000D6B60" w14:paraId="287A08C0" w14:textId="77777777">
      <w:pPr>
        <w:spacing w:after="0" w:line="240" w:lineRule="auto"/>
      </w:pPr>
      <w:r>
        <w:separator/>
      </w:r>
    </w:p>
  </w:endnote>
  <w:endnote w:type="continuationSeparator" w:id="0">
    <w:p w:rsidR="000D6B60" w:rsidP="00A0121C" w:rsidRDefault="000D6B60" w14:paraId="7E32C1E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D6B60" w:rsidP="00A0121C" w:rsidRDefault="000D6B60" w14:paraId="09431903" w14:textId="77777777">
      <w:pPr>
        <w:spacing w:after="0" w:line="240" w:lineRule="auto"/>
      </w:pPr>
      <w:r>
        <w:separator/>
      </w:r>
    </w:p>
  </w:footnote>
  <w:footnote w:type="continuationSeparator" w:id="0">
    <w:p w:rsidR="000D6B60" w:rsidP="00A0121C" w:rsidRDefault="000D6B60" w14:paraId="5A37E9C2" w14:textId="77777777">
      <w:pPr>
        <w:spacing w:after="0" w:line="240" w:lineRule="auto"/>
      </w:pPr>
      <w:r>
        <w:continuationSeparator/>
      </w:r>
    </w:p>
  </w:footnote>
  <w:footnote w:id="1">
    <w:p w:rsidR="00A0121C" w:rsidP="00A0121C" w:rsidRDefault="00A0121C" w14:paraId="07D2D784" w14:textId="77777777">
      <w:pPr>
        <w:spacing w:line="240" w:lineRule="auto"/>
        <w:rPr>
          <w:sz w:val="20"/>
          <w:szCs w:val="20"/>
        </w:rPr>
      </w:pPr>
      <w:r>
        <w:rPr>
          <w:vertAlign w:val="superscript"/>
        </w:rPr>
        <w:footnoteRef/>
      </w:r>
      <w:r>
        <w:rPr>
          <w:sz w:val="20"/>
          <w:szCs w:val="20"/>
        </w:rPr>
        <w:t xml:space="preserve"> P.31,</w:t>
      </w:r>
      <w:hyperlink r:id="rId1">
        <w:r>
          <w:rPr>
            <w:sz w:val="20"/>
            <w:szCs w:val="20"/>
          </w:rPr>
          <w:t xml:space="preserve"> </w:t>
        </w:r>
      </w:hyperlink>
      <w:hyperlink r:id="rId2">
        <w:r>
          <w:rPr>
            <w:color w:val="1155CC"/>
            <w:sz w:val="20"/>
            <w:szCs w:val="20"/>
            <w:u w:val="single"/>
          </w:rPr>
          <w:t>https://escolapau.uab.cat/img/programas/alerta/negociaciones/23/globali.pdf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E45E6"/>
    <w:multiLevelType w:val="hybridMultilevel"/>
    <w:tmpl w:val="746A800C"/>
    <w:lvl w:ilvl="0" w:tplc="E32CAF30">
      <w:start w:val="2"/>
      <w:numFmt w:val="bullet"/>
      <w:lvlText w:val="-"/>
      <w:lvlJc w:val="left"/>
      <w:pPr>
        <w:ind w:left="1080" w:hanging="360"/>
      </w:pPr>
      <w:rPr>
        <w:rFonts w:hint="default" w:ascii="Calibri" w:hAnsi="Calibri" w:cs="Calibri" w:eastAsiaTheme="minorHAnsi"/>
      </w:rPr>
    </w:lvl>
    <w:lvl w:ilvl="1" w:tplc="04060003" w:tentative="1">
      <w:start w:val="1"/>
      <w:numFmt w:val="bullet"/>
      <w:lvlText w:val="o"/>
      <w:lvlJc w:val="left"/>
      <w:pPr>
        <w:ind w:left="1800" w:hanging="360"/>
      </w:pPr>
      <w:rPr>
        <w:rFonts w:hint="default" w:ascii="Courier New" w:hAnsi="Courier New" w:cs="Courier New"/>
      </w:rPr>
    </w:lvl>
    <w:lvl w:ilvl="2" w:tplc="04060005" w:tentative="1">
      <w:start w:val="1"/>
      <w:numFmt w:val="bullet"/>
      <w:lvlText w:val=""/>
      <w:lvlJc w:val="left"/>
      <w:pPr>
        <w:ind w:left="2520" w:hanging="360"/>
      </w:pPr>
      <w:rPr>
        <w:rFonts w:hint="default" w:ascii="Wingdings" w:hAnsi="Wingdings"/>
      </w:rPr>
    </w:lvl>
    <w:lvl w:ilvl="3" w:tplc="04060001" w:tentative="1">
      <w:start w:val="1"/>
      <w:numFmt w:val="bullet"/>
      <w:lvlText w:val=""/>
      <w:lvlJc w:val="left"/>
      <w:pPr>
        <w:ind w:left="3240" w:hanging="360"/>
      </w:pPr>
      <w:rPr>
        <w:rFonts w:hint="default" w:ascii="Symbol" w:hAnsi="Symbol"/>
      </w:rPr>
    </w:lvl>
    <w:lvl w:ilvl="4" w:tplc="04060003" w:tentative="1">
      <w:start w:val="1"/>
      <w:numFmt w:val="bullet"/>
      <w:lvlText w:val="o"/>
      <w:lvlJc w:val="left"/>
      <w:pPr>
        <w:ind w:left="3960" w:hanging="360"/>
      </w:pPr>
      <w:rPr>
        <w:rFonts w:hint="default" w:ascii="Courier New" w:hAnsi="Courier New" w:cs="Courier New"/>
      </w:rPr>
    </w:lvl>
    <w:lvl w:ilvl="5" w:tplc="04060005" w:tentative="1">
      <w:start w:val="1"/>
      <w:numFmt w:val="bullet"/>
      <w:lvlText w:val=""/>
      <w:lvlJc w:val="left"/>
      <w:pPr>
        <w:ind w:left="4680" w:hanging="360"/>
      </w:pPr>
      <w:rPr>
        <w:rFonts w:hint="default" w:ascii="Wingdings" w:hAnsi="Wingdings"/>
      </w:rPr>
    </w:lvl>
    <w:lvl w:ilvl="6" w:tplc="04060001" w:tentative="1">
      <w:start w:val="1"/>
      <w:numFmt w:val="bullet"/>
      <w:lvlText w:val=""/>
      <w:lvlJc w:val="left"/>
      <w:pPr>
        <w:ind w:left="5400" w:hanging="360"/>
      </w:pPr>
      <w:rPr>
        <w:rFonts w:hint="default" w:ascii="Symbol" w:hAnsi="Symbol"/>
      </w:rPr>
    </w:lvl>
    <w:lvl w:ilvl="7" w:tplc="04060003" w:tentative="1">
      <w:start w:val="1"/>
      <w:numFmt w:val="bullet"/>
      <w:lvlText w:val="o"/>
      <w:lvlJc w:val="left"/>
      <w:pPr>
        <w:ind w:left="6120" w:hanging="360"/>
      </w:pPr>
      <w:rPr>
        <w:rFonts w:hint="default" w:ascii="Courier New" w:hAnsi="Courier New" w:cs="Courier New"/>
      </w:rPr>
    </w:lvl>
    <w:lvl w:ilvl="8" w:tplc="04060005" w:tentative="1">
      <w:start w:val="1"/>
      <w:numFmt w:val="bullet"/>
      <w:lvlText w:val=""/>
      <w:lvlJc w:val="left"/>
      <w:pPr>
        <w:ind w:left="6840" w:hanging="360"/>
      </w:pPr>
      <w:rPr>
        <w:rFonts w:hint="default" w:ascii="Wingdings" w:hAnsi="Wingdings"/>
      </w:rPr>
    </w:lvl>
  </w:abstractNum>
  <w:abstractNum w:abstractNumId="1" w15:restartNumberingAfterBreak="0">
    <w:nsid w:val="106B1330"/>
    <w:multiLevelType w:val="multilevel"/>
    <w:tmpl w:val="9B2676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5A5909"/>
    <w:multiLevelType w:val="hybridMultilevel"/>
    <w:tmpl w:val="6C56AC72"/>
    <w:lvl w:ilvl="0" w:tplc="1F041DE2">
      <w:start w:val="2"/>
      <w:numFmt w:val="decimal"/>
      <w:lvlText w:val="%1."/>
      <w:lvlJc w:val="left"/>
      <w:pPr>
        <w:ind w:left="720" w:hanging="360"/>
      </w:pPr>
      <w:rPr>
        <w:rFonts w:hint="default" w:ascii="Times New Roman" w:hAnsi="Times New Roman"/>
      </w:rPr>
    </w:lvl>
    <w:lvl w:ilvl="1" w:tplc="E6E0D314">
      <w:start w:val="1"/>
      <w:numFmt w:val="lowerLetter"/>
      <w:lvlText w:val="%2."/>
      <w:lvlJc w:val="left"/>
      <w:pPr>
        <w:ind w:left="1440" w:hanging="360"/>
      </w:pPr>
    </w:lvl>
    <w:lvl w:ilvl="2" w:tplc="34B45A6A">
      <w:start w:val="1"/>
      <w:numFmt w:val="lowerRoman"/>
      <w:lvlText w:val="%3."/>
      <w:lvlJc w:val="right"/>
      <w:pPr>
        <w:ind w:left="2160" w:hanging="180"/>
      </w:pPr>
    </w:lvl>
    <w:lvl w:ilvl="3" w:tplc="25C6812E">
      <w:start w:val="1"/>
      <w:numFmt w:val="decimal"/>
      <w:lvlText w:val="%4."/>
      <w:lvlJc w:val="left"/>
      <w:pPr>
        <w:ind w:left="2880" w:hanging="360"/>
      </w:pPr>
    </w:lvl>
    <w:lvl w:ilvl="4" w:tplc="2C644956">
      <w:start w:val="1"/>
      <w:numFmt w:val="lowerLetter"/>
      <w:lvlText w:val="%5."/>
      <w:lvlJc w:val="left"/>
      <w:pPr>
        <w:ind w:left="3600" w:hanging="360"/>
      </w:pPr>
    </w:lvl>
    <w:lvl w:ilvl="5" w:tplc="C93A5B0C">
      <w:start w:val="1"/>
      <w:numFmt w:val="lowerRoman"/>
      <w:lvlText w:val="%6."/>
      <w:lvlJc w:val="right"/>
      <w:pPr>
        <w:ind w:left="4320" w:hanging="180"/>
      </w:pPr>
    </w:lvl>
    <w:lvl w:ilvl="6" w:tplc="2EA4A67C">
      <w:start w:val="1"/>
      <w:numFmt w:val="decimal"/>
      <w:lvlText w:val="%7."/>
      <w:lvlJc w:val="left"/>
      <w:pPr>
        <w:ind w:left="5040" w:hanging="360"/>
      </w:pPr>
    </w:lvl>
    <w:lvl w:ilvl="7" w:tplc="712AED6A">
      <w:start w:val="1"/>
      <w:numFmt w:val="lowerLetter"/>
      <w:lvlText w:val="%8."/>
      <w:lvlJc w:val="left"/>
      <w:pPr>
        <w:ind w:left="5760" w:hanging="360"/>
      </w:pPr>
    </w:lvl>
    <w:lvl w:ilvl="8" w:tplc="8AB2420A">
      <w:start w:val="1"/>
      <w:numFmt w:val="lowerRoman"/>
      <w:lvlText w:val="%9."/>
      <w:lvlJc w:val="right"/>
      <w:pPr>
        <w:ind w:left="6480" w:hanging="180"/>
      </w:pPr>
    </w:lvl>
  </w:abstractNum>
  <w:abstractNum w:abstractNumId="3" w15:restartNumberingAfterBreak="0">
    <w:nsid w:val="1264A6CE"/>
    <w:multiLevelType w:val="multilevel"/>
    <w:tmpl w:val="8E6890BE"/>
    <w:lvl w:ilvl="0">
      <w:start w:val="4"/>
      <w:numFmt w:val="decimal"/>
      <w:lvlText w:val="%1"/>
      <w:lvlJc w:val="left"/>
      <w:pPr>
        <w:ind w:left="360" w:hanging="360"/>
      </w:pPr>
      <w:rPr>
        <w:rFonts w:hint="default" w:ascii="Times New Roman" w:hAnsi="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463798"/>
    <w:multiLevelType w:val="multilevel"/>
    <w:tmpl w:val="F26E19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A4800A4"/>
    <w:multiLevelType w:val="multilevel"/>
    <w:tmpl w:val="8354D69C"/>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1BD15C35"/>
    <w:multiLevelType w:val="multilevel"/>
    <w:tmpl w:val="57EED0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45B32A8"/>
    <w:multiLevelType w:val="hybridMultilevel"/>
    <w:tmpl w:val="121E6318"/>
    <w:lvl w:ilvl="0" w:tplc="2BBAE278">
      <w:start w:val="1"/>
      <w:numFmt w:val="bullet"/>
      <w:lvlText w:val="-"/>
      <w:lvlJc w:val="left"/>
      <w:pPr>
        <w:ind w:left="720" w:hanging="360"/>
      </w:pPr>
      <w:rPr>
        <w:rFonts w:hint="default" w:ascii="Calibri" w:hAnsi="Calibri"/>
      </w:rPr>
    </w:lvl>
    <w:lvl w:ilvl="1" w:tplc="A7BA046A">
      <w:start w:val="1"/>
      <w:numFmt w:val="bullet"/>
      <w:lvlText w:val="o"/>
      <w:lvlJc w:val="left"/>
      <w:pPr>
        <w:ind w:left="1440" w:hanging="360"/>
      </w:pPr>
      <w:rPr>
        <w:rFonts w:hint="default" w:ascii="Courier New" w:hAnsi="Courier New"/>
      </w:rPr>
    </w:lvl>
    <w:lvl w:ilvl="2" w:tplc="95625806">
      <w:start w:val="1"/>
      <w:numFmt w:val="bullet"/>
      <w:lvlText w:val=""/>
      <w:lvlJc w:val="left"/>
      <w:pPr>
        <w:ind w:left="2160" w:hanging="360"/>
      </w:pPr>
      <w:rPr>
        <w:rFonts w:hint="default" w:ascii="Wingdings" w:hAnsi="Wingdings"/>
      </w:rPr>
    </w:lvl>
    <w:lvl w:ilvl="3" w:tplc="56B25FEE">
      <w:start w:val="1"/>
      <w:numFmt w:val="bullet"/>
      <w:lvlText w:val=""/>
      <w:lvlJc w:val="left"/>
      <w:pPr>
        <w:ind w:left="2880" w:hanging="360"/>
      </w:pPr>
      <w:rPr>
        <w:rFonts w:hint="default" w:ascii="Symbol" w:hAnsi="Symbol"/>
      </w:rPr>
    </w:lvl>
    <w:lvl w:ilvl="4" w:tplc="C3E4900E">
      <w:start w:val="1"/>
      <w:numFmt w:val="bullet"/>
      <w:lvlText w:val="o"/>
      <w:lvlJc w:val="left"/>
      <w:pPr>
        <w:ind w:left="3600" w:hanging="360"/>
      </w:pPr>
      <w:rPr>
        <w:rFonts w:hint="default" w:ascii="Courier New" w:hAnsi="Courier New"/>
      </w:rPr>
    </w:lvl>
    <w:lvl w:ilvl="5" w:tplc="CDD630F2">
      <w:start w:val="1"/>
      <w:numFmt w:val="bullet"/>
      <w:lvlText w:val=""/>
      <w:lvlJc w:val="left"/>
      <w:pPr>
        <w:ind w:left="4320" w:hanging="360"/>
      </w:pPr>
      <w:rPr>
        <w:rFonts w:hint="default" w:ascii="Wingdings" w:hAnsi="Wingdings"/>
      </w:rPr>
    </w:lvl>
    <w:lvl w:ilvl="6" w:tplc="0A78F64A">
      <w:start w:val="1"/>
      <w:numFmt w:val="bullet"/>
      <w:lvlText w:val=""/>
      <w:lvlJc w:val="left"/>
      <w:pPr>
        <w:ind w:left="5040" w:hanging="360"/>
      </w:pPr>
      <w:rPr>
        <w:rFonts w:hint="default" w:ascii="Symbol" w:hAnsi="Symbol"/>
      </w:rPr>
    </w:lvl>
    <w:lvl w:ilvl="7" w:tplc="FB884A5A">
      <w:start w:val="1"/>
      <w:numFmt w:val="bullet"/>
      <w:lvlText w:val="o"/>
      <w:lvlJc w:val="left"/>
      <w:pPr>
        <w:ind w:left="5760" w:hanging="360"/>
      </w:pPr>
      <w:rPr>
        <w:rFonts w:hint="default" w:ascii="Courier New" w:hAnsi="Courier New"/>
      </w:rPr>
    </w:lvl>
    <w:lvl w:ilvl="8" w:tplc="B25E5A0C">
      <w:start w:val="1"/>
      <w:numFmt w:val="bullet"/>
      <w:lvlText w:val=""/>
      <w:lvlJc w:val="left"/>
      <w:pPr>
        <w:ind w:left="6480" w:hanging="360"/>
      </w:pPr>
      <w:rPr>
        <w:rFonts w:hint="default" w:ascii="Wingdings" w:hAnsi="Wingdings"/>
      </w:rPr>
    </w:lvl>
  </w:abstractNum>
  <w:abstractNum w:abstractNumId="8" w15:restartNumberingAfterBreak="0">
    <w:nsid w:val="253C1CA6"/>
    <w:multiLevelType w:val="hybridMultilevel"/>
    <w:tmpl w:val="6AD4D23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268A2725"/>
    <w:multiLevelType w:val="multilevel"/>
    <w:tmpl w:val="CA78EE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8276F6F"/>
    <w:multiLevelType w:val="hybridMultilevel"/>
    <w:tmpl w:val="B2281B5C"/>
    <w:lvl w:ilvl="0" w:tplc="2CC4A894">
      <w:start w:val="1"/>
      <w:numFmt w:val="lowerLetter"/>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3FBA5011"/>
    <w:multiLevelType w:val="hybridMultilevel"/>
    <w:tmpl w:val="FD70670E"/>
    <w:lvl w:ilvl="0" w:tplc="E8D25DFC">
      <w:start w:val="4"/>
      <w:numFmt w:val="decimal"/>
      <w:lvlText w:val="%1."/>
      <w:lvlJc w:val="left"/>
      <w:pPr>
        <w:ind w:left="720" w:hanging="360"/>
      </w:pPr>
      <w:rPr>
        <w:rFonts w:hint="default" w:ascii="Times New Roman" w:hAnsi="Times New Roman"/>
      </w:rPr>
    </w:lvl>
    <w:lvl w:ilvl="1" w:tplc="EE18A982">
      <w:start w:val="1"/>
      <w:numFmt w:val="lowerLetter"/>
      <w:lvlText w:val="%2."/>
      <w:lvlJc w:val="left"/>
      <w:pPr>
        <w:ind w:left="1440" w:hanging="360"/>
      </w:pPr>
    </w:lvl>
    <w:lvl w:ilvl="2" w:tplc="9022079C">
      <w:start w:val="1"/>
      <w:numFmt w:val="lowerRoman"/>
      <w:lvlText w:val="%3."/>
      <w:lvlJc w:val="right"/>
      <w:pPr>
        <w:ind w:left="2160" w:hanging="180"/>
      </w:pPr>
    </w:lvl>
    <w:lvl w:ilvl="3" w:tplc="35488674">
      <w:start w:val="1"/>
      <w:numFmt w:val="decimal"/>
      <w:lvlText w:val="%4."/>
      <w:lvlJc w:val="left"/>
      <w:pPr>
        <w:ind w:left="2880" w:hanging="360"/>
      </w:pPr>
    </w:lvl>
    <w:lvl w:ilvl="4" w:tplc="92A42A44">
      <w:start w:val="1"/>
      <w:numFmt w:val="lowerLetter"/>
      <w:lvlText w:val="%5."/>
      <w:lvlJc w:val="left"/>
      <w:pPr>
        <w:ind w:left="3600" w:hanging="360"/>
      </w:pPr>
    </w:lvl>
    <w:lvl w:ilvl="5" w:tplc="DB3061D0">
      <w:start w:val="1"/>
      <w:numFmt w:val="lowerRoman"/>
      <w:lvlText w:val="%6."/>
      <w:lvlJc w:val="right"/>
      <w:pPr>
        <w:ind w:left="4320" w:hanging="180"/>
      </w:pPr>
    </w:lvl>
    <w:lvl w:ilvl="6" w:tplc="C5780D5A">
      <w:start w:val="1"/>
      <w:numFmt w:val="decimal"/>
      <w:lvlText w:val="%7."/>
      <w:lvlJc w:val="left"/>
      <w:pPr>
        <w:ind w:left="5040" w:hanging="360"/>
      </w:pPr>
    </w:lvl>
    <w:lvl w:ilvl="7" w:tplc="B1F6B0E0">
      <w:start w:val="1"/>
      <w:numFmt w:val="lowerLetter"/>
      <w:lvlText w:val="%8."/>
      <w:lvlJc w:val="left"/>
      <w:pPr>
        <w:ind w:left="5760" w:hanging="360"/>
      </w:pPr>
    </w:lvl>
    <w:lvl w:ilvl="8" w:tplc="221E407C">
      <w:start w:val="1"/>
      <w:numFmt w:val="lowerRoman"/>
      <w:lvlText w:val="%9."/>
      <w:lvlJc w:val="right"/>
      <w:pPr>
        <w:ind w:left="6480" w:hanging="180"/>
      </w:pPr>
    </w:lvl>
  </w:abstractNum>
  <w:abstractNum w:abstractNumId="12" w15:restartNumberingAfterBreak="0">
    <w:nsid w:val="41E3DF65"/>
    <w:multiLevelType w:val="hybridMultilevel"/>
    <w:tmpl w:val="2488C960"/>
    <w:lvl w:ilvl="0" w:tplc="03D42C52">
      <w:start w:val="1"/>
      <w:numFmt w:val="decimal"/>
      <w:lvlText w:val="%1."/>
      <w:lvlJc w:val="left"/>
      <w:pPr>
        <w:ind w:left="720" w:hanging="360"/>
      </w:pPr>
      <w:rPr>
        <w:rFonts w:hint="default" w:ascii="Times New Roman" w:hAnsi="Times New Roman"/>
      </w:rPr>
    </w:lvl>
    <w:lvl w:ilvl="1" w:tplc="968AC40C">
      <w:start w:val="1"/>
      <w:numFmt w:val="lowerLetter"/>
      <w:lvlText w:val="%2."/>
      <w:lvlJc w:val="left"/>
      <w:pPr>
        <w:ind w:left="1440" w:hanging="360"/>
      </w:pPr>
    </w:lvl>
    <w:lvl w:ilvl="2" w:tplc="83BC490A">
      <w:start w:val="1"/>
      <w:numFmt w:val="lowerRoman"/>
      <w:lvlText w:val="%3."/>
      <w:lvlJc w:val="right"/>
      <w:pPr>
        <w:ind w:left="2160" w:hanging="180"/>
      </w:pPr>
    </w:lvl>
    <w:lvl w:ilvl="3" w:tplc="74649B0E">
      <w:start w:val="1"/>
      <w:numFmt w:val="decimal"/>
      <w:lvlText w:val="%4."/>
      <w:lvlJc w:val="left"/>
      <w:pPr>
        <w:ind w:left="2880" w:hanging="360"/>
      </w:pPr>
    </w:lvl>
    <w:lvl w:ilvl="4" w:tplc="D5B2AB0A">
      <w:start w:val="1"/>
      <w:numFmt w:val="lowerLetter"/>
      <w:lvlText w:val="%5."/>
      <w:lvlJc w:val="left"/>
      <w:pPr>
        <w:ind w:left="3600" w:hanging="360"/>
      </w:pPr>
    </w:lvl>
    <w:lvl w:ilvl="5" w:tplc="3BC2C9D8">
      <w:start w:val="1"/>
      <w:numFmt w:val="lowerRoman"/>
      <w:lvlText w:val="%6."/>
      <w:lvlJc w:val="right"/>
      <w:pPr>
        <w:ind w:left="4320" w:hanging="180"/>
      </w:pPr>
    </w:lvl>
    <w:lvl w:ilvl="6" w:tplc="0CC652B0">
      <w:start w:val="1"/>
      <w:numFmt w:val="decimal"/>
      <w:lvlText w:val="%7."/>
      <w:lvlJc w:val="left"/>
      <w:pPr>
        <w:ind w:left="5040" w:hanging="360"/>
      </w:pPr>
    </w:lvl>
    <w:lvl w:ilvl="7" w:tplc="7C8448A0">
      <w:start w:val="1"/>
      <w:numFmt w:val="lowerLetter"/>
      <w:lvlText w:val="%8."/>
      <w:lvlJc w:val="left"/>
      <w:pPr>
        <w:ind w:left="5760" w:hanging="360"/>
      </w:pPr>
    </w:lvl>
    <w:lvl w:ilvl="8" w:tplc="7AEC55E6">
      <w:start w:val="1"/>
      <w:numFmt w:val="lowerRoman"/>
      <w:lvlText w:val="%9."/>
      <w:lvlJc w:val="right"/>
      <w:pPr>
        <w:ind w:left="6480" w:hanging="180"/>
      </w:pPr>
    </w:lvl>
  </w:abstractNum>
  <w:abstractNum w:abstractNumId="13" w15:restartNumberingAfterBreak="0">
    <w:nsid w:val="423A5EEA"/>
    <w:multiLevelType w:val="hybridMultilevel"/>
    <w:tmpl w:val="98C6845A"/>
    <w:lvl w:ilvl="0" w:tplc="E6D2C0E6">
      <w:start w:val="3"/>
      <w:numFmt w:val="decimal"/>
      <w:lvlText w:val="%1."/>
      <w:lvlJc w:val="left"/>
      <w:pPr>
        <w:ind w:left="720" w:hanging="360"/>
      </w:pPr>
      <w:rPr>
        <w:rFonts w:hint="default" w:ascii="Times New Roman" w:hAnsi="Times New Roman"/>
      </w:rPr>
    </w:lvl>
    <w:lvl w:ilvl="1" w:tplc="AEE4DD06">
      <w:start w:val="1"/>
      <w:numFmt w:val="lowerLetter"/>
      <w:lvlText w:val="%2."/>
      <w:lvlJc w:val="left"/>
      <w:pPr>
        <w:ind w:left="1440" w:hanging="360"/>
      </w:pPr>
    </w:lvl>
    <w:lvl w:ilvl="2" w:tplc="D67034A4">
      <w:start w:val="1"/>
      <w:numFmt w:val="lowerRoman"/>
      <w:lvlText w:val="%3."/>
      <w:lvlJc w:val="right"/>
      <w:pPr>
        <w:ind w:left="2160" w:hanging="180"/>
      </w:pPr>
    </w:lvl>
    <w:lvl w:ilvl="3" w:tplc="EEF25B7A">
      <w:start w:val="1"/>
      <w:numFmt w:val="decimal"/>
      <w:lvlText w:val="%4."/>
      <w:lvlJc w:val="left"/>
      <w:pPr>
        <w:ind w:left="2880" w:hanging="360"/>
      </w:pPr>
    </w:lvl>
    <w:lvl w:ilvl="4" w:tplc="B2482478">
      <w:start w:val="1"/>
      <w:numFmt w:val="lowerLetter"/>
      <w:lvlText w:val="%5."/>
      <w:lvlJc w:val="left"/>
      <w:pPr>
        <w:ind w:left="3600" w:hanging="360"/>
      </w:pPr>
    </w:lvl>
    <w:lvl w:ilvl="5" w:tplc="751423DA">
      <w:start w:val="1"/>
      <w:numFmt w:val="lowerRoman"/>
      <w:lvlText w:val="%6."/>
      <w:lvlJc w:val="right"/>
      <w:pPr>
        <w:ind w:left="4320" w:hanging="180"/>
      </w:pPr>
    </w:lvl>
    <w:lvl w:ilvl="6" w:tplc="D0EEEC7C">
      <w:start w:val="1"/>
      <w:numFmt w:val="decimal"/>
      <w:lvlText w:val="%7."/>
      <w:lvlJc w:val="left"/>
      <w:pPr>
        <w:ind w:left="5040" w:hanging="360"/>
      </w:pPr>
    </w:lvl>
    <w:lvl w:ilvl="7" w:tplc="00C01028">
      <w:start w:val="1"/>
      <w:numFmt w:val="lowerLetter"/>
      <w:lvlText w:val="%8."/>
      <w:lvlJc w:val="left"/>
      <w:pPr>
        <w:ind w:left="5760" w:hanging="360"/>
      </w:pPr>
    </w:lvl>
    <w:lvl w:ilvl="8" w:tplc="1AD26D40">
      <w:start w:val="1"/>
      <w:numFmt w:val="lowerRoman"/>
      <w:lvlText w:val="%9."/>
      <w:lvlJc w:val="right"/>
      <w:pPr>
        <w:ind w:left="6480" w:hanging="180"/>
      </w:pPr>
    </w:lvl>
  </w:abstractNum>
  <w:abstractNum w:abstractNumId="14" w15:restartNumberingAfterBreak="0">
    <w:nsid w:val="43241C04"/>
    <w:multiLevelType w:val="multilevel"/>
    <w:tmpl w:val="1368EEDA"/>
    <w:lvl w:ilvl="0">
      <w:start w:val="5"/>
      <w:numFmt w:val="decimal"/>
      <w:lvlText w:val="%1"/>
      <w:lvlJc w:val="left"/>
      <w:pPr>
        <w:ind w:left="360" w:hanging="360"/>
      </w:pPr>
      <w:rPr>
        <w:rFonts w:hint="default" w:ascii="Times New Roman" w:hAnsi="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7AD9D92"/>
    <w:multiLevelType w:val="hybridMultilevel"/>
    <w:tmpl w:val="F00EE19C"/>
    <w:lvl w:ilvl="0" w:tplc="A20ADD7A">
      <w:start w:val="2"/>
      <w:numFmt w:val="decimal"/>
      <w:lvlText w:val="%1."/>
      <w:lvlJc w:val="left"/>
      <w:pPr>
        <w:ind w:left="720" w:hanging="360"/>
      </w:pPr>
      <w:rPr>
        <w:rFonts w:hint="default" w:ascii="Times New Roman" w:hAnsi="Times New Roman"/>
      </w:rPr>
    </w:lvl>
    <w:lvl w:ilvl="1" w:tplc="41A49EFE">
      <w:start w:val="1"/>
      <w:numFmt w:val="lowerLetter"/>
      <w:lvlText w:val="%2."/>
      <w:lvlJc w:val="left"/>
      <w:pPr>
        <w:ind w:left="1440" w:hanging="360"/>
      </w:pPr>
    </w:lvl>
    <w:lvl w:ilvl="2" w:tplc="E5EE78A8">
      <w:start w:val="1"/>
      <w:numFmt w:val="lowerRoman"/>
      <w:lvlText w:val="%3."/>
      <w:lvlJc w:val="right"/>
      <w:pPr>
        <w:ind w:left="2160" w:hanging="180"/>
      </w:pPr>
    </w:lvl>
    <w:lvl w:ilvl="3" w:tplc="225A1FB8">
      <w:start w:val="1"/>
      <w:numFmt w:val="decimal"/>
      <w:lvlText w:val="%4."/>
      <w:lvlJc w:val="left"/>
      <w:pPr>
        <w:ind w:left="2880" w:hanging="360"/>
      </w:pPr>
    </w:lvl>
    <w:lvl w:ilvl="4" w:tplc="541C12EC">
      <w:start w:val="1"/>
      <w:numFmt w:val="lowerLetter"/>
      <w:lvlText w:val="%5."/>
      <w:lvlJc w:val="left"/>
      <w:pPr>
        <w:ind w:left="3600" w:hanging="360"/>
      </w:pPr>
    </w:lvl>
    <w:lvl w:ilvl="5" w:tplc="556EB886">
      <w:start w:val="1"/>
      <w:numFmt w:val="lowerRoman"/>
      <w:lvlText w:val="%6."/>
      <w:lvlJc w:val="right"/>
      <w:pPr>
        <w:ind w:left="4320" w:hanging="180"/>
      </w:pPr>
    </w:lvl>
    <w:lvl w:ilvl="6" w:tplc="8960D386">
      <w:start w:val="1"/>
      <w:numFmt w:val="decimal"/>
      <w:lvlText w:val="%7."/>
      <w:lvlJc w:val="left"/>
      <w:pPr>
        <w:ind w:left="5040" w:hanging="360"/>
      </w:pPr>
    </w:lvl>
    <w:lvl w:ilvl="7" w:tplc="740C4B6E">
      <w:start w:val="1"/>
      <w:numFmt w:val="lowerLetter"/>
      <w:lvlText w:val="%8."/>
      <w:lvlJc w:val="left"/>
      <w:pPr>
        <w:ind w:left="5760" w:hanging="360"/>
      </w:pPr>
    </w:lvl>
    <w:lvl w:ilvl="8" w:tplc="2D4E76E2">
      <w:start w:val="1"/>
      <w:numFmt w:val="lowerRoman"/>
      <w:lvlText w:val="%9."/>
      <w:lvlJc w:val="right"/>
      <w:pPr>
        <w:ind w:left="6480" w:hanging="180"/>
      </w:pPr>
    </w:lvl>
  </w:abstractNum>
  <w:abstractNum w:abstractNumId="16" w15:restartNumberingAfterBreak="0">
    <w:nsid w:val="4A2821BA"/>
    <w:multiLevelType w:val="multilevel"/>
    <w:tmpl w:val="1C901C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4C6575"/>
    <w:multiLevelType w:val="multilevel"/>
    <w:tmpl w:val="0D12B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135CA4"/>
    <w:multiLevelType w:val="hybridMultilevel"/>
    <w:tmpl w:val="2C54F3B0"/>
    <w:lvl w:ilvl="0" w:tplc="39D4C266">
      <w:start w:val="1"/>
      <w:numFmt w:val="decimal"/>
      <w:lvlText w:val="%1."/>
      <w:lvlJc w:val="left"/>
      <w:pPr>
        <w:ind w:left="720" w:hanging="360"/>
      </w:pPr>
      <w:rPr>
        <w:rFonts w:hint="default" w:ascii="Times New Roman" w:hAnsi="Times New Roman"/>
      </w:rPr>
    </w:lvl>
    <w:lvl w:ilvl="1" w:tplc="36F26FC2">
      <w:start w:val="1"/>
      <w:numFmt w:val="lowerLetter"/>
      <w:lvlText w:val="%2."/>
      <w:lvlJc w:val="left"/>
      <w:pPr>
        <w:ind w:left="1440" w:hanging="360"/>
      </w:pPr>
    </w:lvl>
    <w:lvl w:ilvl="2" w:tplc="F1446950">
      <w:start w:val="1"/>
      <w:numFmt w:val="lowerRoman"/>
      <w:lvlText w:val="%3."/>
      <w:lvlJc w:val="right"/>
      <w:pPr>
        <w:ind w:left="2160" w:hanging="180"/>
      </w:pPr>
    </w:lvl>
    <w:lvl w:ilvl="3" w:tplc="C1DC879E">
      <w:start w:val="1"/>
      <w:numFmt w:val="decimal"/>
      <w:lvlText w:val="%4."/>
      <w:lvlJc w:val="left"/>
      <w:pPr>
        <w:ind w:left="2880" w:hanging="360"/>
      </w:pPr>
    </w:lvl>
    <w:lvl w:ilvl="4" w:tplc="3BEAD6D6">
      <w:start w:val="1"/>
      <w:numFmt w:val="lowerLetter"/>
      <w:lvlText w:val="%5."/>
      <w:lvlJc w:val="left"/>
      <w:pPr>
        <w:ind w:left="3600" w:hanging="360"/>
      </w:pPr>
    </w:lvl>
    <w:lvl w:ilvl="5" w:tplc="7812CB58">
      <w:start w:val="1"/>
      <w:numFmt w:val="lowerRoman"/>
      <w:lvlText w:val="%6."/>
      <w:lvlJc w:val="right"/>
      <w:pPr>
        <w:ind w:left="4320" w:hanging="180"/>
      </w:pPr>
    </w:lvl>
    <w:lvl w:ilvl="6" w:tplc="90DCC87E">
      <w:start w:val="1"/>
      <w:numFmt w:val="decimal"/>
      <w:lvlText w:val="%7."/>
      <w:lvlJc w:val="left"/>
      <w:pPr>
        <w:ind w:left="5040" w:hanging="360"/>
      </w:pPr>
    </w:lvl>
    <w:lvl w:ilvl="7" w:tplc="4686FD8C">
      <w:start w:val="1"/>
      <w:numFmt w:val="lowerLetter"/>
      <w:lvlText w:val="%8."/>
      <w:lvlJc w:val="left"/>
      <w:pPr>
        <w:ind w:left="5760" w:hanging="360"/>
      </w:pPr>
    </w:lvl>
    <w:lvl w:ilvl="8" w:tplc="996E8340">
      <w:start w:val="1"/>
      <w:numFmt w:val="lowerRoman"/>
      <w:lvlText w:val="%9."/>
      <w:lvlJc w:val="right"/>
      <w:pPr>
        <w:ind w:left="6480" w:hanging="180"/>
      </w:pPr>
    </w:lvl>
  </w:abstractNum>
  <w:abstractNum w:abstractNumId="19" w15:restartNumberingAfterBreak="0">
    <w:nsid w:val="56A95751"/>
    <w:multiLevelType w:val="multilevel"/>
    <w:tmpl w:val="209444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5D195054"/>
    <w:multiLevelType w:val="hybridMultilevel"/>
    <w:tmpl w:val="E9AC2AEE"/>
    <w:lvl w:ilvl="0" w:tplc="78168714">
      <w:start w:val="3"/>
      <w:numFmt w:val="bullet"/>
      <w:lvlText w:val=""/>
      <w:lvlJc w:val="left"/>
      <w:pPr>
        <w:ind w:left="720" w:hanging="360"/>
      </w:pPr>
      <w:rPr>
        <w:rFonts w:hint="default" w:ascii="Wingdings" w:hAnsi="Wingding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653A1DB8"/>
    <w:multiLevelType w:val="hybridMultilevel"/>
    <w:tmpl w:val="9E8C0C66"/>
    <w:lvl w:ilvl="0" w:tplc="F414440C">
      <w:start w:val="5"/>
      <w:numFmt w:val="decimal"/>
      <w:lvlText w:val="%1."/>
      <w:lvlJc w:val="left"/>
      <w:pPr>
        <w:ind w:left="720" w:hanging="360"/>
      </w:pPr>
      <w:rPr>
        <w:rFonts w:hint="default" w:ascii="Times New Roman" w:hAnsi="Times New Roman"/>
      </w:rPr>
    </w:lvl>
    <w:lvl w:ilvl="1" w:tplc="D6228DAE">
      <w:start w:val="1"/>
      <w:numFmt w:val="lowerLetter"/>
      <w:lvlText w:val="%2."/>
      <w:lvlJc w:val="left"/>
      <w:pPr>
        <w:ind w:left="1440" w:hanging="360"/>
      </w:pPr>
    </w:lvl>
    <w:lvl w:ilvl="2" w:tplc="E3CC9414">
      <w:start w:val="1"/>
      <w:numFmt w:val="lowerRoman"/>
      <w:lvlText w:val="%3."/>
      <w:lvlJc w:val="right"/>
      <w:pPr>
        <w:ind w:left="2160" w:hanging="180"/>
      </w:pPr>
    </w:lvl>
    <w:lvl w:ilvl="3" w:tplc="580A03C8">
      <w:start w:val="1"/>
      <w:numFmt w:val="decimal"/>
      <w:lvlText w:val="%4."/>
      <w:lvlJc w:val="left"/>
      <w:pPr>
        <w:ind w:left="2880" w:hanging="360"/>
      </w:pPr>
    </w:lvl>
    <w:lvl w:ilvl="4" w:tplc="4AD09146">
      <w:start w:val="1"/>
      <w:numFmt w:val="lowerLetter"/>
      <w:lvlText w:val="%5."/>
      <w:lvlJc w:val="left"/>
      <w:pPr>
        <w:ind w:left="3600" w:hanging="360"/>
      </w:pPr>
    </w:lvl>
    <w:lvl w:ilvl="5" w:tplc="A56A7BF6">
      <w:start w:val="1"/>
      <w:numFmt w:val="lowerRoman"/>
      <w:lvlText w:val="%6."/>
      <w:lvlJc w:val="right"/>
      <w:pPr>
        <w:ind w:left="4320" w:hanging="180"/>
      </w:pPr>
    </w:lvl>
    <w:lvl w:ilvl="6" w:tplc="14265C62">
      <w:start w:val="1"/>
      <w:numFmt w:val="decimal"/>
      <w:lvlText w:val="%7."/>
      <w:lvlJc w:val="left"/>
      <w:pPr>
        <w:ind w:left="5040" w:hanging="360"/>
      </w:pPr>
    </w:lvl>
    <w:lvl w:ilvl="7" w:tplc="A7560848">
      <w:start w:val="1"/>
      <w:numFmt w:val="lowerLetter"/>
      <w:lvlText w:val="%8."/>
      <w:lvlJc w:val="left"/>
      <w:pPr>
        <w:ind w:left="5760" w:hanging="360"/>
      </w:pPr>
    </w:lvl>
    <w:lvl w:ilvl="8" w:tplc="EE00F726">
      <w:start w:val="1"/>
      <w:numFmt w:val="lowerRoman"/>
      <w:lvlText w:val="%9."/>
      <w:lvlJc w:val="right"/>
      <w:pPr>
        <w:ind w:left="6480" w:hanging="180"/>
      </w:pPr>
    </w:lvl>
  </w:abstractNum>
  <w:abstractNum w:abstractNumId="22" w15:restartNumberingAfterBreak="0">
    <w:nsid w:val="675A569A"/>
    <w:multiLevelType w:val="hybridMultilevel"/>
    <w:tmpl w:val="2F0C397A"/>
    <w:lvl w:ilvl="0" w:tplc="82323192">
      <w:start w:val="1"/>
      <w:numFmt w:val="bullet"/>
      <w:lvlText w:val=""/>
      <w:lvlJc w:val="left"/>
      <w:pPr>
        <w:ind w:left="720" w:hanging="360"/>
      </w:pPr>
      <w:rPr>
        <w:rFonts w:hint="default" w:ascii="Symbol" w:hAnsi="Symbol"/>
      </w:rPr>
    </w:lvl>
    <w:lvl w:ilvl="1" w:tplc="2844026C">
      <w:start w:val="1"/>
      <w:numFmt w:val="bullet"/>
      <w:lvlText w:val="-"/>
      <w:lvlJc w:val="left"/>
      <w:pPr>
        <w:ind w:left="1440" w:hanging="360"/>
      </w:pPr>
      <w:rPr>
        <w:rFonts w:hint="default" w:ascii="Calibri" w:hAnsi="Calibri"/>
      </w:rPr>
    </w:lvl>
    <w:lvl w:ilvl="2" w:tplc="31EEDB3A">
      <w:start w:val="1"/>
      <w:numFmt w:val="bullet"/>
      <w:lvlText w:val=""/>
      <w:lvlJc w:val="left"/>
      <w:pPr>
        <w:ind w:left="2160" w:hanging="360"/>
      </w:pPr>
      <w:rPr>
        <w:rFonts w:hint="default" w:ascii="Wingdings" w:hAnsi="Wingdings"/>
      </w:rPr>
    </w:lvl>
    <w:lvl w:ilvl="3" w:tplc="D382B77C">
      <w:start w:val="1"/>
      <w:numFmt w:val="bullet"/>
      <w:lvlText w:val=""/>
      <w:lvlJc w:val="left"/>
      <w:pPr>
        <w:ind w:left="2880" w:hanging="360"/>
      </w:pPr>
      <w:rPr>
        <w:rFonts w:hint="default" w:ascii="Symbol" w:hAnsi="Symbol"/>
      </w:rPr>
    </w:lvl>
    <w:lvl w:ilvl="4" w:tplc="BE847996">
      <w:start w:val="1"/>
      <w:numFmt w:val="bullet"/>
      <w:lvlText w:val="o"/>
      <w:lvlJc w:val="left"/>
      <w:pPr>
        <w:ind w:left="3600" w:hanging="360"/>
      </w:pPr>
      <w:rPr>
        <w:rFonts w:hint="default" w:ascii="Courier New" w:hAnsi="Courier New"/>
      </w:rPr>
    </w:lvl>
    <w:lvl w:ilvl="5" w:tplc="139C920E">
      <w:start w:val="1"/>
      <w:numFmt w:val="bullet"/>
      <w:lvlText w:val=""/>
      <w:lvlJc w:val="left"/>
      <w:pPr>
        <w:ind w:left="4320" w:hanging="360"/>
      </w:pPr>
      <w:rPr>
        <w:rFonts w:hint="default" w:ascii="Wingdings" w:hAnsi="Wingdings"/>
      </w:rPr>
    </w:lvl>
    <w:lvl w:ilvl="6" w:tplc="BE1A8DA0">
      <w:start w:val="1"/>
      <w:numFmt w:val="bullet"/>
      <w:lvlText w:val=""/>
      <w:lvlJc w:val="left"/>
      <w:pPr>
        <w:ind w:left="5040" w:hanging="360"/>
      </w:pPr>
      <w:rPr>
        <w:rFonts w:hint="default" w:ascii="Symbol" w:hAnsi="Symbol"/>
      </w:rPr>
    </w:lvl>
    <w:lvl w:ilvl="7" w:tplc="AC5A8998">
      <w:start w:val="1"/>
      <w:numFmt w:val="bullet"/>
      <w:lvlText w:val="o"/>
      <w:lvlJc w:val="left"/>
      <w:pPr>
        <w:ind w:left="5760" w:hanging="360"/>
      </w:pPr>
      <w:rPr>
        <w:rFonts w:hint="default" w:ascii="Courier New" w:hAnsi="Courier New"/>
      </w:rPr>
    </w:lvl>
    <w:lvl w:ilvl="8" w:tplc="0AB4087E">
      <w:start w:val="1"/>
      <w:numFmt w:val="bullet"/>
      <w:lvlText w:val=""/>
      <w:lvlJc w:val="left"/>
      <w:pPr>
        <w:ind w:left="6480" w:hanging="360"/>
      </w:pPr>
      <w:rPr>
        <w:rFonts w:hint="default" w:ascii="Wingdings" w:hAnsi="Wingdings"/>
      </w:rPr>
    </w:lvl>
  </w:abstractNum>
  <w:abstractNum w:abstractNumId="23" w15:restartNumberingAfterBreak="0">
    <w:nsid w:val="6C2105FC"/>
    <w:multiLevelType w:val="multilevel"/>
    <w:tmpl w:val="665A15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6C916A97"/>
    <w:multiLevelType w:val="hybridMultilevel"/>
    <w:tmpl w:val="DC5063D4"/>
    <w:lvl w:ilvl="0" w:tplc="17E4E18E">
      <w:start w:val="3"/>
      <w:numFmt w:val="decimal"/>
      <w:lvlText w:val="%1."/>
      <w:lvlJc w:val="left"/>
      <w:pPr>
        <w:ind w:left="720" w:hanging="360"/>
      </w:pPr>
      <w:rPr>
        <w:rFonts w:hint="default" w:ascii="Times New Roman" w:hAnsi="Times New Roman"/>
      </w:rPr>
    </w:lvl>
    <w:lvl w:ilvl="1" w:tplc="B3D20B44">
      <w:start w:val="1"/>
      <w:numFmt w:val="lowerLetter"/>
      <w:lvlText w:val="%2."/>
      <w:lvlJc w:val="left"/>
      <w:pPr>
        <w:ind w:left="1440" w:hanging="360"/>
      </w:pPr>
    </w:lvl>
    <w:lvl w:ilvl="2" w:tplc="A8D8F9B6">
      <w:start w:val="1"/>
      <w:numFmt w:val="lowerRoman"/>
      <w:lvlText w:val="%3."/>
      <w:lvlJc w:val="right"/>
      <w:pPr>
        <w:ind w:left="2160" w:hanging="180"/>
      </w:pPr>
    </w:lvl>
    <w:lvl w:ilvl="3" w:tplc="6E04EB16">
      <w:start w:val="1"/>
      <w:numFmt w:val="decimal"/>
      <w:lvlText w:val="%4."/>
      <w:lvlJc w:val="left"/>
      <w:pPr>
        <w:ind w:left="2880" w:hanging="360"/>
      </w:pPr>
    </w:lvl>
    <w:lvl w:ilvl="4" w:tplc="4844E3FC">
      <w:start w:val="1"/>
      <w:numFmt w:val="lowerLetter"/>
      <w:lvlText w:val="%5."/>
      <w:lvlJc w:val="left"/>
      <w:pPr>
        <w:ind w:left="3600" w:hanging="360"/>
      </w:pPr>
    </w:lvl>
    <w:lvl w:ilvl="5" w:tplc="D686926A">
      <w:start w:val="1"/>
      <w:numFmt w:val="lowerRoman"/>
      <w:lvlText w:val="%6."/>
      <w:lvlJc w:val="right"/>
      <w:pPr>
        <w:ind w:left="4320" w:hanging="180"/>
      </w:pPr>
    </w:lvl>
    <w:lvl w:ilvl="6" w:tplc="7BDAEFE2">
      <w:start w:val="1"/>
      <w:numFmt w:val="decimal"/>
      <w:lvlText w:val="%7."/>
      <w:lvlJc w:val="left"/>
      <w:pPr>
        <w:ind w:left="5040" w:hanging="360"/>
      </w:pPr>
    </w:lvl>
    <w:lvl w:ilvl="7" w:tplc="53FC7F9E">
      <w:start w:val="1"/>
      <w:numFmt w:val="lowerLetter"/>
      <w:lvlText w:val="%8."/>
      <w:lvlJc w:val="left"/>
      <w:pPr>
        <w:ind w:left="5760" w:hanging="360"/>
      </w:pPr>
    </w:lvl>
    <w:lvl w:ilvl="8" w:tplc="771CFA00">
      <w:start w:val="1"/>
      <w:numFmt w:val="lowerRoman"/>
      <w:lvlText w:val="%9."/>
      <w:lvlJc w:val="right"/>
      <w:pPr>
        <w:ind w:left="6480" w:hanging="180"/>
      </w:pPr>
    </w:lvl>
  </w:abstractNum>
  <w:abstractNum w:abstractNumId="25" w15:restartNumberingAfterBreak="0">
    <w:nsid w:val="6D84414A"/>
    <w:multiLevelType w:val="multilevel"/>
    <w:tmpl w:val="007ABB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353162"/>
    <w:multiLevelType w:val="multilevel"/>
    <w:tmpl w:val="4BCE787C"/>
    <w:lvl w:ilvl="0">
      <w:start w:val="10"/>
      <w:numFmt w:val="decimal"/>
      <w:lvlText w:val="%1."/>
      <w:lvlJc w:val="left"/>
      <w:pPr>
        <w:ind w:left="357"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3" w:hanging="360"/>
      </w:pPr>
      <w:rPr>
        <w:rFonts w:hint="default"/>
        <w:b/>
      </w:rPr>
    </w:lvl>
    <w:lvl w:ilvl="3">
      <w:start w:val="1"/>
      <w:numFmt w:val="decimal"/>
      <w:isLgl/>
      <w:lvlText w:val="%1.%2.%3.%4"/>
      <w:lvlJc w:val="left"/>
      <w:pPr>
        <w:ind w:left="1806" w:hanging="720"/>
      </w:pPr>
      <w:rPr>
        <w:rFonts w:hint="default"/>
        <w:b/>
      </w:rPr>
    </w:lvl>
    <w:lvl w:ilvl="4">
      <w:start w:val="1"/>
      <w:numFmt w:val="decimal"/>
      <w:isLgl/>
      <w:lvlText w:val="%1.%2.%3.%4.%5"/>
      <w:lvlJc w:val="left"/>
      <w:pPr>
        <w:ind w:left="2169" w:hanging="720"/>
      </w:pPr>
      <w:rPr>
        <w:rFonts w:hint="default"/>
        <w:b/>
      </w:rPr>
    </w:lvl>
    <w:lvl w:ilvl="5">
      <w:start w:val="1"/>
      <w:numFmt w:val="decimal"/>
      <w:isLgl/>
      <w:lvlText w:val="%1.%2.%3.%4.%5.%6"/>
      <w:lvlJc w:val="left"/>
      <w:pPr>
        <w:ind w:left="2892" w:hanging="1080"/>
      </w:pPr>
      <w:rPr>
        <w:rFonts w:hint="default"/>
        <w:b/>
      </w:rPr>
    </w:lvl>
    <w:lvl w:ilvl="6">
      <w:start w:val="1"/>
      <w:numFmt w:val="decimal"/>
      <w:isLgl/>
      <w:lvlText w:val="%1.%2.%3.%4.%5.%6.%7"/>
      <w:lvlJc w:val="left"/>
      <w:pPr>
        <w:ind w:left="3255" w:hanging="1080"/>
      </w:pPr>
      <w:rPr>
        <w:rFonts w:hint="default"/>
        <w:b/>
      </w:rPr>
    </w:lvl>
    <w:lvl w:ilvl="7">
      <w:start w:val="1"/>
      <w:numFmt w:val="decimal"/>
      <w:isLgl/>
      <w:lvlText w:val="%1.%2.%3.%4.%5.%6.%7.%8"/>
      <w:lvlJc w:val="left"/>
      <w:pPr>
        <w:ind w:left="3618" w:hanging="1080"/>
      </w:pPr>
      <w:rPr>
        <w:rFonts w:hint="default"/>
        <w:b/>
      </w:rPr>
    </w:lvl>
    <w:lvl w:ilvl="8">
      <w:start w:val="1"/>
      <w:numFmt w:val="decimal"/>
      <w:isLgl/>
      <w:lvlText w:val="%1.%2.%3.%4.%5.%6.%7.%8.%9"/>
      <w:lvlJc w:val="left"/>
      <w:pPr>
        <w:ind w:left="4341" w:hanging="1440"/>
      </w:pPr>
      <w:rPr>
        <w:rFonts w:hint="default"/>
        <w:b/>
      </w:rPr>
    </w:lvl>
  </w:abstractNum>
  <w:abstractNum w:abstractNumId="27" w15:restartNumberingAfterBreak="0">
    <w:nsid w:val="72448FAA"/>
    <w:multiLevelType w:val="hybridMultilevel"/>
    <w:tmpl w:val="6B144CC0"/>
    <w:lvl w:ilvl="0" w:tplc="D9D2D95A">
      <w:start w:val="1"/>
      <w:numFmt w:val="bullet"/>
      <w:lvlText w:val=""/>
      <w:lvlJc w:val="left"/>
      <w:pPr>
        <w:ind w:left="720" w:hanging="360"/>
      </w:pPr>
      <w:rPr>
        <w:rFonts w:hint="default" w:ascii="Symbol" w:hAnsi="Symbol"/>
      </w:rPr>
    </w:lvl>
    <w:lvl w:ilvl="1" w:tplc="FAD671F8">
      <w:start w:val="1"/>
      <w:numFmt w:val="bullet"/>
      <w:lvlText w:val="o"/>
      <w:lvlJc w:val="left"/>
      <w:pPr>
        <w:ind w:left="1440" w:hanging="360"/>
      </w:pPr>
      <w:rPr>
        <w:rFonts w:hint="default" w:ascii="Courier New" w:hAnsi="Courier New"/>
      </w:rPr>
    </w:lvl>
    <w:lvl w:ilvl="2" w:tplc="C18CD350">
      <w:start w:val="1"/>
      <w:numFmt w:val="bullet"/>
      <w:lvlText w:val=""/>
      <w:lvlJc w:val="left"/>
      <w:pPr>
        <w:ind w:left="2160" w:hanging="360"/>
      </w:pPr>
      <w:rPr>
        <w:rFonts w:hint="default" w:ascii="Wingdings" w:hAnsi="Wingdings"/>
      </w:rPr>
    </w:lvl>
    <w:lvl w:ilvl="3" w:tplc="639A84B6">
      <w:start w:val="1"/>
      <w:numFmt w:val="bullet"/>
      <w:lvlText w:val=""/>
      <w:lvlJc w:val="left"/>
      <w:pPr>
        <w:ind w:left="2880" w:hanging="360"/>
      </w:pPr>
      <w:rPr>
        <w:rFonts w:hint="default" w:ascii="Symbol" w:hAnsi="Symbol"/>
      </w:rPr>
    </w:lvl>
    <w:lvl w:ilvl="4" w:tplc="B3CE8530">
      <w:start w:val="1"/>
      <w:numFmt w:val="bullet"/>
      <w:lvlText w:val="o"/>
      <w:lvlJc w:val="left"/>
      <w:pPr>
        <w:ind w:left="3600" w:hanging="360"/>
      </w:pPr>
      <w:rPr>
        <w:rFonts w:hint="default" w:ascii="Courier New" w:hAnsi="Courier New"/>
      </w:rPr>
    </w:lvl>
    <w:lvl w:ilvl="5" w:tplc="FE522A52">
      <w:start w:val="1"/>
      <w:numFmt w:val="bullet"/>
      <w:lvlText w:val=""/>
      <w:lvlJc w:val="left"/>
      <w:pPr>
        <w:ind w:left="4320" w:hanging="360"/>
      </w:pPr>
      <w:rPr>
        <w:rFonts w:hint="default" w:ascii="Wingdings" w:hAnsi="Wingdings"/>
      </w:rPr>
    </w:lvl>
    <w:lvl w:ilvl="6" w:tplc="FC74843A">
      <w:start w:val="1"/>
      <w:numFmt w:val="bullet"/>
      <w:lvlText w:val=""/>
      <w:lvlJc w:val="left"/>
      <w:pPr>
        <w:ind w:left="5040" w:hanging="360"/>
      </w:pPr>
      <w:rPr>
        <w:rFonts w:hint="default" w:ascii="Symbol" w:hAnsi="Symbol"/>
      </w:rPr>
    </w:lvl>
    <w:lvl w:ilvl="7" w:tplc="1FA8D5A4">
      <w:start w:val="1"/>
      <w:numFmt w:val="bullet"/>
      <w:lvlText w:val="o"/>
      <w:lvlJc w:val="left"/>
      <w:pPr>
        <w:ind w:left="5760" w:hanging="360"/>
      </w:pPr>
      <w:rPr>
        <w:rFonts w:hint="default" w:ascii="Courier New" w:hAnsi="Courier New"/>
      </w:rPr>
    </w:lvl>
    <w:lvl w:ilvl="8" w:tplc="9B627BAA">
      <w:start w:val="1"/>
      <w:numFmt w:val="bullet"/>
      <w:lvlText w:val=""/>
      <w:lvlJc w:val="left"/>
      <w:pPr>
        <w:ind w:left="6480" w:hanging="360"/>
      </w:pPr>
      <w:rPr>
        <w:rFonts w:hint="default" w:ascii="Wingdings" w:hAnsi="Wingdings"/>
      </w:rPr>
    </w:lvl>
  </w:abstractNum>
  <w:abstractNum w:abstractNumId="28" w15:restartNumberingAfterBreak="0">
    <w:nsid w:val="7BB76D12"/>
    <w:multiLevelType w:val="hybridMultilevel"/>
    <w:tmpl w:val="989C3BF8"/>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292251951">
    <w:abstractNumId w:val="7"/>
  </w:num>
  <w:num w:numId="2" w16cid:durableId="995719577">
    <w:abstractNumId w:val="22"/>
  </w:num>
  <w:num w:numId="3" w16cid:durableId="651325814">
    <w:abstractNumId w:val="21"/>
  </w:num>
  <w:num w:numId="4" w16cid:durableId="1377464463">
    <w:abstractNumId w:val="11"/>
  </w:num>
  <w:num w:numId="5" w16cid:durableId="916597978">
    <w:abstractNumId w:val="13"/>
  </w:num>
  <w:num w:numId="6" w16cid:durableId="145442088">
    <w:abstractNumId w:val="2"/>
  </w:num>
  <w:num w:numId="7" w16cid:durableId="2079210103">
    <w:abstractNumId w:val="12"/>
  </w:num>
  <w:num w:numId="8" w16cid:durableId="2123528911">
    <w:abstractNumId w:val="14"/>
  </w:num>
  <w:num w:numId="9" w16cid:durableId="1842891543">
    <w:abstractNumId w:val="24"/>
  </w:num>
  <w:num w:numId="10" w16cid:durableId="1970355506">
    <w:abstractNumId w:val="15"/>
  </w:num>
  <w:num w:numId="11" w16cid:durableId="1870947034">
    <w:abstractNumId w:val="18"/>
  </w:num>
  <w:num w:numId="12" w16cid:durableId="1464231528">
    <w:abstractNumId w:val="3"/>
  </w:num>
  <w:num w:numId="13" w16cid:durableId="668678229">
    <w:abstractNumId w:val="28"/>
  </w:num>
  <w:num w:numId="14" w16cid:durableId="1572932533">
    <w:abstractNumId w:val="20"/>
  </w:num>
  <w:num w:numId="15" w16cid:durableId="616180837">
    <w:abstractNumId w:val="1"/>
  </w:num>
  <w:num w:numId="16" w16cid:durableId="129521946">
    <w:abstractNumId w:val="6"/>
  </w:num>
  <w:num w:numId="17" w16cid:durableId="1847134196">
    <w:abstractNumId w:val="9"/>
  </w:num>
  <w:num w:numId="18" w16cid:durableId="707224263">
    <w:abstractNumId w:val="27"/>
  </w:num>
  <w:num w:numId="19" w16cid:durableId="240875761">
    <w:abstractNumId w:val="10"/>
  </w:num>
  <w:num w:numId="20" w16cid:durableId="1615595154">
    <w:abstractNumId w:val="8"/>
  </w:num>
  <w:num w:numId="21" w16cid:durableId="1837770910">
    <w:abstractNumId w:val="5"/>
  </w:num>
  <w:num w:numId="22" w16cid:durableId="171989038">
    <w:abstractNumId w:val="17"/>
  </w:num>
  <w:num w:numId="23" w16cid:durableId="1959146087">
    <w:abstractNumId w:val="19"/>
  </w:num>
  <w:num w:numId="24" w16cid:durableId="1293947675">
    <w:abstractNumId w:val="4"/>
  </w:num>
  <w:num w:numId="25" w16cid:durableId="1286737110">
    <w:abstractNumId w:val="23"/>
  </w:num>
  <w:num w:numId="26" w16cid:durableId="456606471">
    <w:abstractNumId w:val="25"/>
  </w:num>
  <w:num w:numId="27" w16cid:durableId="849611288">
    <w:abstractNumId w:val="16"/>
  </w:num>
  <w:num w:numId="28" w16cid:durableId="1260211114">
    <w:abstractNumId w:val="0"/>
  </w:num>
  <w:num w:numId="29" w16cid:durableId="10354204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F50"/>
    <w:rsid w:val="00046F15"/>
    <w:rsid w:val="00062EC0"/>
    <w:rsid w:val="00082D11"/>
    <w:rsid w:val="000D6B60"/>
    <w:rsid w:val="000D78FA"/>
    <w:rsid w:val="000E4B33"/>
    <w:rsid w:val="002312B6"/>
    <w:rsid w:val="002F4A38"/>
    <w:rsid w:val="003911E2"/>
    <w:rsid w:val="003976EB"/>
    <w:rsid w:val="003A0A2E"/>
    <w:rsid w:val="003E421F"/>
    <w:rsid w:val="003F09D9"/>
    <w:rsid w:val="004176D4"/>
    <w:rsid w:val="0045179E"/>
    <w:rsid w:val="004A50E0"/>
    <w:rsid w:val="004A7576"/>
    <w:rsid w:val="00513695"/>
    <w:rsid w:val="005217B0"/>
    <w:rsid w:val="005D41D9"/>
    <w:rsid w:val="005E454E"/>
    <w:rsid w:val="00616EC5"/>
    <w:rsid w:val="00685C53"/>
    <w:rsid w:val="006A58EE"/>
    <w:rsid w:val="006F4EA3"/>
    <w:rsid w:val="00772BAA"/>
    <w:rsid w:val="007C2C3E"/>
    <w:rsid w:val="008142AE"/>
    <w:rsid w:val="00823D0C"/>
    <w:rsid w:val="0082747B"/>
    <w:rsid w:val="008342F4"/>
    <w:rsid w:val="00865F44"/>
    <w:rsid w:val="00881941"/>
    <w:rsid w:val="008B5B86"/>
    <w:rsid w:val="00910D4D"/>
    <w:rsid w:val="00993AE3"/>
    <w:rsid w:val="009C5BB8"/>
    <w:rsid w:val="00A0121C"/>
    <w:rsid w:val="00A25588"/>
    <w:rsid w:val="00A6271C"/>
    <w:rsid w:val="00A73D7D"/>
    <w:rsid w:val="00AA470B"/>
    <w:rsid w:val="00AA5C49"/>
    <w:rsid w:val="00AE167C"/>
    <w:rsid w:val="00AF0024"/>
    <w:rsid w:val="00AF67FE"/>
    <w:rsid w:val="00B34F88"/>
    <w:rsid w:val="00B962F8"/>
    <w:rsid w:val="00BD5BE0"/>
    <w:rsid w:val="00C02A94"/>
    <w:rsid w:val="00C372D5"/>
    <w:rsid w:val="00D11F50"/>
    <w:rsid w:val="00D51D6F"/>
    <w:rsid w:val="00D7408E"/>
    <w:rsid w:val="00DA0623"/>
    <w:rsid w:val="00DB583D"/>
    <w:rsid w:val="00E045B5"/>
    <w:rsid w:val="00E047F8"/>
    <w:rsid w:val="00E50590"/>
    <w:rsid w:val="00E762F0"/>
    <w:rsid w:val="00EC2246"/>
    <w:rsid w:val="00F52AFB"/>
    <w:rsid w:val="00FD04F3"/>
    <w:rsid w:val="07693DD5"/>
    <w:rsid w:val="1B282B73"/>
    <w:rsid w:val="2575B3B7"/>
    <w:rsid w:val="2A4E9664"/>
    <w:rsid w:val="2DA98FB8"/>
    <w:rsid w:val="33B7FB67"/>
    <w:rsid w:val="38E51C4A"/>
    <w:rsid w:val="3961D38A"/>
    <w:rsid w:val="4B7F169C"/>
    <w:rsid w:val="4DEF306A"/>
    <w:rsid w:val="4F16A72D"/>
    <w:rsid w:val="59C84E19"/>
    <w:rsid w:val="722CB157"/>
    <w:rsid w:val="74D4D92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7B58A"/>
  <w15:chartTrackingRefBased/>
  <w15:docId w15:val="{D33E4C0E-A11E-4058-847A-A5BDE8DE7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Standardskrifttypeiafsnit" w:default="1">
    <w:name w:val="Default Paragraph Font"/>
    <w:uiPriority w:val="1"/>
    <w:semiHidden/>
    <w:unhideWhenUsed/>
  </w:style>
  <w:style w:type="table" w:styleId="Tabel-Normal" w:default="1">
    <w:name w:val="Normal Table"/>
    <w:uiPriority w:val="99"/>
    <w:semiHidden/>
    <w:unhideWhenUsed/>
    <w:tblPr>
      <w:tblInd w:w="0" w:type="dxa"/>
      <w:tblCellMar>
        <w:top w:w="0" w:type="dxa"/>
        <w:left w:w="108" w:type="dxa"/>
        <w:bottom w:w="0" w:type="dxa"/>
        <w:right w:w="108" w:type="dxa"/>
      </w:tblCellMar>
    </w:tblPr>
  </w:style>
  <w:style w:type="numbering" w:styleId="Ingenoversigt" w:default="1">
    <w:name w:val="No List"/>
    <w:uiPriority w:val="99"/>
    <w:semiHidden/>
    <w:unhideWhenUsed/>
  </w:style>
  <w:style w:type="table" w:styleId="Tabel-Gitter">
    <w:name w:val="Table Grid"/>
    <w:basedOn w:val="Tabel-Normal"/>
    <w:uiPriority w:val="59"/>
    <w:rsid w:val="00823D0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eafsnit">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eafsnitTegn"/>
    <w:uiPriority w:val="34"/>
    <w:qFormat/>
    <w:rsid w:val="00E045B5"/>
    <w:pPr>
      <w:ind w:left="720"/>
      <w:contextualSpacing/>
    </w:pPr>
  </w:style>
  <w:style w:type="character" w:styleId="normaltextrun" w:customStyle="1">
    <w:name w:val="normaltextrun"/>
    <w:rsid w:val="00E045B5"/>
    <w:rPr>
      <w:rFonts w:cs="Times New Roman"/>
    </w:rPr>
  </w:style>
  <w:style w:type="table" w:styleId="Gittertabel4-farve61" w:customStyle="1">
    <w:name w:val="Gittertabel 4 - farve 61"/>
    <w:basedOn w:val="Tabel-Normal"/>
    <w:uiPriority w:val="49"/>
    <w:rsid w:val="00616EC5"/>
    <w:pPr>
      <w:spacing w:after="0" w:line="240" w:lineRule="auto"/>
    </w:pPr>
    <w:tblPr>
      <w:tblStyleRowBandSize w:val="1"/>
      <w:tblStyleColBandSize w:val="1"/>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color w:val="FFFFFF" w:themeColor="background1"/>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insideV w:val="nil"/>
        </w:tcBorders>
        <w:shd w:val="clear" w:color="auto" w:fill="70AD47" w:themeFill="accent6"/>
      </w:tcPr>
    </w:tblStylePr>
    <w:tblStylePr w:type="lastRow">
      <w:rPr>
        <w:b/>
        <w:bCs/>
      </w:rPr>
      <w:tblPr/>
      <w:tcPr>
        <w:tcBorders>
          <w:top w:val="double" w:color="70AD47" w:themeColor="accent6" w:sz="4" w:space="0"/>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eop" w:customStyle="1">
    <w:name w:val="eop"/>
    <w:basedOn w:val="Standardskrifttypeiafsnit"/>
    <w:rsid w:val="0045179E"/>
  </w:style>
  <w:style w:type="character" w:styleId="Kommentarhenvisning">
    <w:name w:val="annotation reference"/>
    <w:basedOn w:val="Standardskrifttypeiafsnit"/>
    <w:uiPriority w:val="99"/>
    <w:semiHidden/>
    <w:unhideWhenUsed/>
    <w:rsid w:val="008B5B86"/>
    <w:rPr>
      <w:sz w:val="16"/>
      <w:szCs w:val="16"/>
    </w:rPr>
  </w:style>
  <w:style w:type="paragraph" w:styleId="Kommentartekst">
    <w:name w:val="annotation text"/>
    <w:basedOn w:val="Normal"/>
    <w:link w:val="KommentartekstTegn"/>
    <w:uiPriority w:val="99"/>
    <w:unhideWhenUsed/>
    <w:rsid w:val="008B5B86"/>
    <w:pPr>
      <w:spacing w:line="240" w:lineRule="auto"/>
    </w:pPr>
    <w:rPr>
      <w:sz w:val="20"/>
      <w:szCs w:val="20"/>
    </w:rPr>
  </w:style>
  <w:style w:type="character" w:styleId="KommentartekstTegn" w:customStyle="1">
    <w:name w:val="Kommentartekst Tegn"/>
    <w:basedOn w:val="Standardskrifttypeiafsnit"/>
    <w:link w:val="Kommentartekst"/>
    <w:uiPriority w:val="99"/>
    <w:rsid w:val="008B5B86"/>
    <w:rPr>
      <w:sz w:val="20"/>
      <w:szCs w:val="20"/>
    </w:rPr>
  </w:style>
  <w:style w:type="paragraph" w:styleId="Kommentaremne">
    <w:name w:val="annotation subject"/>
    <w:basedOn w:val="Kommentartekst"/>
    <w:next w:val="Kommentartekst"/>
    <w:link w:val="KommentaremneTegn"/>
    <w:uiPriority w:val="99"/>
    <w:semiHidden/>
    <w:unhideWhenUsed/>
    <w:rsid w:val="008B5B86"/>
    <w:rPr>
      <w:b/>
      <w:bCs/>
    </w:rPr>
  </w:style>
  <w:style w:type="character" w:styleId="KommentaremneTegn" w:customStyle="1">
    <w:name w:val="Kommentaremne Tegn"/>
    <w:basedOn w:val="KommentartekstTegn"/>
    <w:link w:val="Kommentaremne"/>
    <w:uiPriority w:val="99"/>
    <w:semiHidden/>
    <w:rsid w:val="008B5B86"/>
    <w:rPr>
      <w:b/>
      <w:bCs/>
      <w:sz w:val="20"/>
      <w:szCs w:val="20"/>
    </w:rPr>
  </w:style>
  <w:style w:type="character" w:styleId="ListeafsnitTegn" w:customStyle="1">
    <w:name w:val="Listeafsnit Tegn"/>
    <w:aliases w:val="List Paragraph (numbered (a)) Tegn,Bullets Tegn,List Paragraph1 Tegn,Lapis Bulleted List Tegn,Dot pt Tegn,F5 List Paragraph Tegn,No Spacing1 Tegn,List Paragraph Char Char Char Tegn,Indicator Text Tegn,Numbered Para 1 Tegn,Bullet 1 Tegn"/>
    <w:basedOn w:val="Standardskrifttypeiafsnit"/>
    <w:link w:val="Listeafsnit"/>
    <w:uiPriority w:val="34"/>
    <w:qFormat/>
    <w:rsid w:val="00FD04F3"/>
  </w:style>
  <w:style w:type="character" w:styleId="Hyperlink">
    <w:name w:val="Hyperlink"/>
    <w:basedOn w:val="Standardskrifttypeiafsni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5044456">
      <w:bodyDiv w:val="1"/>
      <w:marLeft w:val="0"/>
      <w:marRight w:val="0"/>
      <w:marTop w:val="0"/>
      <w:marBottom w:val="0"/>
      <w:divBdr>
        <w:top w:val="none" w:sz="0" w:space="0" w:color="auto"/>
        <w:left w:val="none" w:sz="0" w:space="0" w:color="auto"/>
        <w:bottom w:val="none" w:sz="0" w:space="0" w:color="auto"/>
        <w:right w:val="none" w:sz="0" w:space="0" w:color="auto"/>
      </w:divBdr>
      <w:divsChild>
        <w:div w:id="1860316486">
          <w:marLeft w:val="0"/>
          <w:marRight w:val="0"/>
          <w:marTop w:val="0"/>
          <w:marBottom w:val="0"/>
          <w:divBdr>
            <w:top w:val="none" w:sz="0" w:space="0" w:color="auto"/>
            <w:left w:val="none" w:sz="0" w:space="0" w:color="auto"/>
            <w:bottom w:val="none" w:sz="0" w:space="0" w:color="auto"/>
            <w:right w:val="none" w:sz="0" w:space="0" w:color="auto"/>
          </w:divBdr>
          <w:divsChild>
            <w:div w:id="1982925348">
              <w:marLeft w:val="0"/>
              <w:marRight w:val="0"/>
              <w:marTop w:val="0"/>
              <w:marBottom w:val="0"/>
              <w:divBdr>
                <w:top w:val="none" w:sz="0" w:space="0" w:color="auto"/>
                <w:left w:val="none" w:sz="0" w:space="0" w:color="auto"/>
                <w:bottom w:val="none" w:sz="0" w:space="0" w:color="auto"/>
                <w:right w:val="none" w:sz="0" w:space="0" w:color="auto"/>
              </w:divBdr>
            </w:div>
            <w:div w:id="552422501">
              <w:marLeft w:val="0"/>
              <w:marRight w:val="0"/>
              <w:marTop w:val="0"/>
              <w:marBottom w:val="0"/>
              <w:divBdr>
                <w:top w:val="none" w:sz="0" w:space="0" w:color="auto"/>
                <w:left w:val="none" w:sz="0" w:space="0" w:color="auto"/>
                <w:bottom w:val="none" w:sz="0" w:space="0" w:color="auto"/>
                <w:right w:val="none" w:sz="0" w:space="0" w:color="auto"/>
              </w:divBdr>
            </w:div>
            <w:div w:id="491606014">
              <w:marLeft w:val="0"/>
              <w:marRight w:val="0"/>
              <w:marTop w:val="0"/>
              <w:marBottom w:val="0"/>
              <w:divBdr>
                <w:top w:val="none" w:sz="0" w:space="0" w:color="auto"/>
                <w:left w:val="none" w:sz="0" w:space="0" w:color="auto"/>
                <w:bottom w:val="none" w:sz="0" w:space="0" w:color="auto"/>
                <w:right w:val="none" w:sz="0" w:space="0" w:color="auto"/>
              </w:divBdr>
            </w:div>
            <w:div w:id="1755934887">
              <w:marLeft w:val="0"/>
              <w:marRight w:val="0"/>
              <w:marTop w:val="0"/>
              <w:marBottom w:val="0"/>
              <w:divBdr>
                <w:top w:val="none" w:sz="0" w:space="0" w:color="auto"/>
                <w:left w:val="none" w:sz="0" w:space="0" w:color="auto"/>
                <w:bottom w:val="none" w:sz="0" w:space="0" w:color="auto"/>
                <w:right w:val="none" w:sz="0" w:space="0" w:color="auto"/>
              </w:divBdr>
            </w:div>
          </w:divsChild>
        </w:div>
        <w:div w:id="1453015489">
          <w:marLeft w:val="0"/>
          <w:marRight w:val="0"/>
          <w:marTop w:val="0"/>
          <w:marBottom w:val="0"/>
          <w:divBdr>
            <w:top w:val="none" w:sz="0" w:space="0" w:color="auto"/>
            <w:left w:val="none" w:sz="0" w:space="0" w:color="auto"/>
            <w:bottom w:val="none" w:sz="0" w:space="0" w:color="auto"/>
            <w:right w:val="none" w:sz="0" w:space="0" w:color="auto"/>
          </w:divBdr>
          <w:divsChild>
            <w:div w:id="1927836015">
              <w:marLeft w:val="0"/>
              <w:marRight w:val="0"/>
              <w:marTop w:val="0"/>
              <w:marBottom w:val="0"/>
              <w:divBdr>
                <w:top w:val="none" w:sz="0" w:space="0" w:color="auto"/>
                <w:left w:val="none" w:sz="0" w:space="0" w:color="auto"/>
                <w:bottom w:val="none" w:sz="0" w:space="0" w:color="auto"/>
                <w:right w:val="none" w:sz="0" w:space="0" w:color="auto"/>
              </w:divBdr>
            </w:div>
            <w:div w:id="1457793264">
              <w:marLeft w:val="0"/>
              <w:marRight w:val="0"/>
              <w:marTop w:val="0"/>
              <w:marBottom w:val="0"/>
              <w:divBdr>
                <w:top w:val="none" w:sz="0" w:space="0" w:color="auto"/>
                <w:left w:val="none" w:sz="0" w:space="0" w:color="auto"/>
                <w:bottom w:val="none" w:sz="0" w:space="0" w:color="auto"/>
                <w:right w:val="none" w:sz="0" w:space="0" w:color="auto"/>
              </w:divBdr>
            </w:div>
            <w:div w:id="708994972">
              <w:marLeft w:val="0"/>
              <w:marRight w:val="0"/>
              <w:marTop w:val="0"/>
              <w:marBottom w:val="0"/>
              <w:divBdr>
                <w:top w:val="none" w:sz="0" w:space="0" w:color="auto"/>
                <w:left w:val="none" w:sz="0" w:space="0" w:color="auto"/>
                <w:bottom w:val="none" w:sz="0" w:space="0" w:color="auto"/>
                <w:right w:val="none" w:sz="0" w:space="0" w:color="auto"/>
              </w:divBdr>
            </w:div>
            <w:div w:id="408960744">
              <w:marLeft w:val="0"/>
              <w:marRight w:val="0"/>
              <w:marTop w:val="0"/>
              <w:marBottom w:val="0"/>
              <w:divBdr>
                <w:top w:val="none" w:sz="0" w:space="0" w:color="auto"/>
                <w:left w:val="none" w:sz="0" w:space="0" w:color="auto"/>
                <w:bottom w:val="none" w:sz="0" w:space="0" w:color="auto"/>
                <w:right w:val="none" w:sz="0" w:space="0" w:color="auto"/>
              </w:divBdr>
            </w:div>
            <w:div w:id="750739203">
              <w:marLeft w:val="0"/>
              <w:marRight w:val="0"/>
              <w:marTop w:val="0"/>
              <w:marBottom w:val="0"/>
              <w:divBdr>
                <w:top w:val="none" w:sz="0" w:space="0" w:color="auto"/>
                <w:left w:val="none" w:sz="0" w:space="0" w:color="auto"/>
                <w:bottom w:val="none" w:sz="0" w:space="0" w:color="auto"/>
                <w:right w:val="none" w:sz="0" w:space="0" w:color="auto"/>
              </w:divBdr>
            </w:div>
            <w:div w:id="385841251">
              <w:marLeft w:val="0"/>
              <w:marRight w:val="0"/>
              <w:marTop w:val="0"/>
              <w:marBottom w:val="0"/>
              <w:divBdr>
                <w:top w:val="none" w:sz="0" w:space="0" w:color="auto"/>
                <w:left w:val="none" w:sz="0" w:space="0" w:color="auto"/>
                <w:bottom w:val="none" w:sz="0" w:space="0" w:color="auto"/>
                <w:right w:val="none" w:sz="0" w:space="0" w:color="auto"/>
              </w:divBdr>
            </w:div>
            <w:div w:id="321661141">
              <w:marLeft w:val="0"/>
              <w:marRight w:val="0"/>
              <w:marTop w:val="0"/>
              <w:marBottom w:val="0"/>
              <w:divBdr>
                <w:top w:val="none" w:sz="0" w:space="0" w:color="auto"/>
                <w:left w:val="none" w:sz="0" w:space="0" w:color="auto"/>
                <w:bottom w:val="none" w:sz="0" w:space="0" w:color="auto"/>
                <w:right w:val="none" w:sz="0" w:space="0" w:color="auto"/>
              </w:divBdr>
            </w:div>
            <w:div w:id="151725096">
              <w:marLeft w:val="0"/>
              <w:marRight w:val="0"/>
              <w:marTop w:val="0"/>
              <w:marBottom w:val="0"/>
              <w:divBdr>
                <w:top w:val="none" w:sz="0" w:space="0" w:color="auto"/>
                <w:left w:val="none" w:sz="0" w:space="0" w:color="auto"/>
                <w:bottom w:val="none" w:sz="0" w:space="0" w:color="auto"/>
                <w:right w:val="none" w:sz="0" w:space="0" w:color="auto"/>
              </w:divBdr>
            </w:div>
            <w:div w:id="784471770">
              <w:marLeft w:val="0"/>
              <w:marRight w:val="0"/>
              <w:marTop w:val="0"/>
              <w:marBottom w:val="0"/>
              <w:divBdr>
                <w:top w:val="none" w:sz="0" w:space="0" w:color="auto"/>
                <w:left w:val="none" w:sz="0" w:space="0" w:color="auto"/>
                <w:bottom w:val="none" w:sz="0" w:space="0" w:color="auto"/>
                <w:right w:val="none" w:sz="0" w:space="0" w:color="auto"/>
              </w:divBdr>
            </w:div>
            <w:div w:id="1657880680">
              <w:marLeft w:val="0"/>
              <w:marRight w:val="0"/>
              <w:marTop w:val="0"/>
              <w:marBottom w:val="0"/>
              <w:divBdr>
                <w:top w:val="none" w:sz="0" w:space="0" w:color="auto"/>
                <w:left w:val="none" w:sz="0" w:space="0" w:color="auto"/>
                <w:bottom w:val="none" w:sz="0" w:space="0" w:color="auto"/>
                <w:right w:val="none" w:sz="0" w:space="0" w:color="auto"/>
              </w:divBdr>
            </w:div>
            <w:div w:id="1622493939">
              <w:marLeft w:val="0"/>
              <w:marRight w:val="0"/>
              <w:marTop w:val="0"/>
              <w:marBottom w:val="0"/>
              <w:divBdr>
                <w:top w:val="none" w:sz="0" w:space="0" w:color="auto"/>
                <w:left w:val="none" w:sz="0" w:space="0" w:color="auto"/>
                <w:bottom w:val="none" w:sz="0" w:space="0" w:color="auto"/>
                <w:right w:val="none" w:sz="0" w:space="0" w:color="auto"/>
              </w:divBdr>
            </w:div>
            <w:div w:id="204270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178138">
      <w:bodyDiv w:val="1"/>
      <w:marLeft w:val="0"/>
      <w:marRight w:val="0"/>
      <w:marTop w:val="0"/>
      <w:marBottom w:val="0"/>
      <w:divBdr>
        <w:top w:val="none" w:sz="0" w:space="0" w:color="auto"/>
        <w:left w:val="none" w:sz="0" w:space="0" w:color="auto"/>
        <w:bottom w:val="none" w:sz="0" w:space="0" w:color="auto"/>
        <w:right w:val="none" w:sz="0" w:space="0" w:color="auto"/>
      </w:divBdr>
      <w:divsChild>
        <w:div w:id="2035223598">
          <w:marLeft w:val="0"/>
          <w:marRight w:val="0"/>
          <w:marTop w:val="0"/>
          <w:marBottom w:val="0"/>
          <w:divBdr>
            <w:top w:val="none" w:sz="0" w:space="0" w:color="auto"/>
            <w:left w:val="none" w:sz="0" w:space="0" w:color="auto"/>
            <w:bottom w:val="none" w:sz="0" w:space="0" w:color="auto"/>
            <w:right w:val="none" w:sz="0" w:space="0" w:color="auto"/>
          </w:divBdr>
          <w:divsChild>
            <w:div w:id="1898740030">
              <w:marLeft w:val="0"/>
              <w:marRight w:val="0"/>
              <w:marTop w:val="0"/>
              <w:marBottom w:val="0"/>
              <w:divBdr>
                <w:top w:val="none" w:sz="0" w:space="0" w:color="auto"/>
                <w:left w:val="none" w:sz="0" w:space="0" w:color="auto"/>
                <w:bottom w:val="none" w:sz="0" w:space="0" w:color="auto"/>
                <w:right w:val="none" w:sz="0" w:space="0" w:color="auto"/>
              </w:divBdr>
            </w:div>
            <w:div w:id="1692023259">
              <w:marLeft w:val="0"/>
              <w:marRight w:val="0"/>
              <w:marTop w:val="0"/>
              <w:marBottom w:val="0"/>
              <w:divBdr>
                <w:top w:val="none" w:sz="0" w:space="0" w:color="auto"/>
                <w:left w:val="none" w:sz="0" w:space="0" w:color="auto"/>
                <w:bottom w:val="none" w:sz="0" w:space="0" w:color="auto"/>
                <w:right w:val="none" w:sz="0" w:space="0" w:color="auto"/>
              </w:divBdr>
            </w:div>
            <w:div w:id="587809771">
              <w:marLeft w:val="0"/>
              <w:marRight w:val="0"/>
              <w:marTop w:val="0"/>
              <w:marBottom w:val="0"/>
              <w:divBdr>
                <w:top w:val="none" w:sz="0" w:space="0" w:color="auto"/>
                <w:left w:val="none" w:sz="0" w:space="0" w:color="auto"/>
                <w:bottom w:val="none" w:sz="0" w:space="0" w:color="auto"/>
                <w:right w:val="none" w:sz="0" w:space="0" w:color="auto"/>
              </w:divBdr>
            </w:div>
            <w:div w:id="396973932">
              <w:marLeft w:val="0"/>
              <w:marRight w:val="0"/>
              <w:marTop w:val="0"/>
              <w:marBottom w:val="0"/>
              <w:divBdr>
                <w:top w:val="none" w:sz="0" w:space="0" w:color="auto"/>
                <w:left w:val="none" w:sz="0" w:space="0" w:color="auto"/>
                <w:bottom w:val="none" w:sz="0" w:space="0" w:color="auto"/>
                <w:right w:val="none" w:sz="0" w:space="0" w:color="auto"/>
              </w:divBdr>
            </w:div>
          </w:divsChild>
        </w:div>
        <w:div w:id="380137348">
          <w:marLeft w:val="0"/>
          <w:marRight w:val="0"/>
          <w:marTop w:val="0"/>
          <w:marBottom w:val="0"/>
          <w:divBdr>
            <w:top w:val="none" w:sz="0" w:space="0" w:color="auto"/>
            <w:left w:val="none" w:sz="0" w:space="0" w:color="auto"/>
            <w:bottom w:val="none" w:sz="0" w:space="0" w:color="auto"/>
            <w:right w:val="none" w:sz="0" w:space="0" w:color="auto"/>
          </w:divBdr>
          <w:divsChild>
            <w:div w:id="1202858959">
              <w:marLeft w:val="0"/>
              <w:marRight w:val="0"/>
              <w:marTop w:val="0"/>
              <w:marBottom w:val="0"/>
              <w:divBdr>
                <w:top w:val="none" w:sz="0" w:space="0" w:color="auto"/>
                <w:left w:val="none" w:sz="0" w:space="0" w:color="auto"/>
                <w:bottom w:val="none" w:sz="0" w:space="0" w:color="auto"/>
                <w:right w:val="none" w:sz="0" w:space="0" w:color="auto"/>
              </w:divBdr>
            </w:div>
            <w:div w:id="1412699348">
              <w:marLeft w:val="0"/>
              <w:marRight w:val="0"/>
              <w:marTop w:val="0"/>
              <w:marBottom w:val="0"/>
              <w:divBdr>
                <w:top w:val="none" w:sz="0" w:space="0" w:color="auto"/>
                <w:left w:val="none" w:sz="0" w:space="0" w:color="auto"/>
                <w:bottom w:val="none" w:sz="0" w:space="0" w:color="auto"/>
                <w:right w:val="none" w:sz="0" w:space="0" w:color="auto"/>
              </w:divBdr>
            </w:div>
            <w:div w:id="1257593469">
              <w:marLeft w:val="0"/>
              <w:marRight w:val="0"/>
              <w:marTop w:val="0"/>
              <w:marBottom w:val="0"/>
              <w:divBdr>
                <w:top w:val="none" w:sz="0" w:space="0" w:color="auto"/>
                <w:left w:val="none" w:sz="0" w:space="0" w:color="auto"/>
                <w:bottom w:val="none" w:sz="0" w:space="0" w:color="auto"/>
                <w:right w:val="none" w:sz="0" w:space="0" w:color="auto"/>
              </w:divBdr>
            </w:div>
            <w:div w:id="1699811096">
              <w:marLeft w:val="0"/>
              <w:marRight w:val="0"/>
              <w:marTop w:val="0"/>
              <w:marBottom w:val="0"/>
              <w:divBdr>
                <w:top w:val="none" w:sz="0" w:space="0" w:color="auto"/>
                <w:left w:val="none" w:sz="0" w:space="0" w:color="auto"/>
                <w:bottom w:val="none" w:sz="0" w:space="0" w:color="auto"/>
                <w:right w:val="none" w:sz="0" w:space="0" w:color="auto"/>
              </w:divBdr>
            </w:div>
            <w:div w:id="1953660334">
              <w:marLeft w:val="0"/>
              <w:marRight w:val="0"/>
              <w:marTop w:val="0"/>
              <w:marBottom w:val="0"/>
              <w:divBdr>
                <w:top w:val="none" w:sz="0" w:space="0" w:color="auto"/>
                <w:left w:val="none" w:sz="0" w:space="0" w:color="auto"/>
                <w:bottom w:val="none" w:sz="0" w:space="0" w:color="auto"/>
                <w:right w:val="none" w:sz="0" w:space="0" w:color="auto"/>
              </w:divBdr>
            </w:div>
            <w:div w:id="612595852">
              <w:marLeft w:val="0"/>
              <w:marRight w:val="0"/>
              <w:marTop w:val="0"/>
              <w:marBottom w:val="0"/>
              <w:divBdr>
                <w:top w:val="none" w:sz="0" w:space="0" w:color="auto"/>
                <w:left w:val="none" w:sz="0" w:space="0" w:color="auto"/>
                <w:bottom w:val="none" w:sz="0" w:space="0" w:color="auto"/>
                <w:right w:val="none" w:sz="0" w:space="0" w:color="auto"/>
              </w:divBdr>
            </w:div>
            <w:div w:id="1247425992">
              <w:marLeft w:val="0"/>
              <w:marRight w:val="0"/>
              <w:marTop w:val="0"/>
              <w:marBottom w:val="0"/>
              <w:divBdr>
                <w:top w:val="none" w:sz="0" w:space="0" w:color="auto"/>
                <w:left w:val="none" w:sz="0" w:space="0" w:color="auto"/>
                <w:bottom w:val="none" w:sz="0" w:space="0" w:color="auto"/>
                <w:right w:val="none" w:sz="0" w:space="0" w:color="auto"/>
              </w:divBdr>
            </w:div>
            <w:div w:id="1141536410">
              <w:marLeft w:val="0"/>
              <w:marRight w:val="0"/>
              <w:marTop w:val="0"/>
              <w:marBottom w:val="0"/>
              <w:divBdr>
                <w:top w:val="none" w:sz="0" w:space="0" w:color="auto"/>
                <w:left w:val="none" w:sz="0" w:space="0" w:color="auto"/>
                <w:bottom w:val="none" w:sz="0" w:space="0" w:color="auto"/>
                <w:right w:val="none" w:sz="0" w:space="0" w:color="auto"/>
              </w:divBdr>
            </w:div>
            <w:div w:id="709646238">
              <w:marLeft w:val="0"/>
              <w:marRight w:val="0"/>
              <w:marTop w:val="0"/>
              <w:marBottom w:val="0"/>
              <w:divBdr>
                <w:top w:val="none" w:sz="0" w:space="0" w:color="auto"/>
                <w:left w:val="none" w:sz="0" w:space="0" w:color="auto"/>
                <w:bottom w:val="none" w:sz="0" w:space="0" w:color="auto"/>
                <w:right w:val="none" w:sz="0" w:space="0" w:color="auto"/>
              </w:divBdr>
            </w:div>
            <w:div w:id="364528735">
              <w:marLeft w:val="0"/>
              <w:marRight w:val="0"/>
              <w:marTop w:val="0"/>
              <w:marBottom w:val="0"/>
              <w:divBdr>
                <w:top w:val="none" w:sz="0" w:space="0" w:color="auto"/>
                <w:left w:val="none" w:sz="0" w:space="0" w:color="auto"/>
                <w:bottom w:val="none" w:sz="0" w:space="0" w:color="auto"/>
                <w:right w:val="none" w:sz="0" w:space="0" w:color="auto"/>
              </w:divBdr>
            </w:div>
            <w:div w:id="298655042">
              <w:marLeft w:val="0"/>
              <w:marRight w:val="0"/>
              <w:marTop w:val="0"/>
              <w:marBottom w:val="0"/>
              <w:divBdr>
                <w:top w:val="none" w:sz="0" w:space="0" w:color="auto"/>
                <w:left w:val="none" w:sz="0" w:space="0" w:color="auto"/>
                <w:bottom w:val="none" w:sz="0" w:space="0" w:color="auto"/>
                <w:right w:val="none" w:sz="0" w:space="0" w:color="auto"/>
              </w:divBdr>
            </w:div>
            <w:div w:id="19799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ohchr.org/en/statements/2023/06/turk-urges-solidarity-face-gender-equality-backlash" TargetMode="External" Id="rId8" /><Relationship Type="http://schemas.openxmlformats.org/officeDocument/2006/relationships/hyperlink" Target="https://www.cambridge.org/core/journals/politics-and-gender/article/abs/gender-equality-and-authoritarian-regimes-new-directions-for-research/8FDC3B640958F9D2C90964F7C7458F7B" TargetMode="External" Id="rId13" /><Relationship Type="http://schemas.openxmlformats.org/officeDocument/2006/relationships/settings" Target="settings.xml" Id="rId3" /><Relationship Type="http://schemas.openxmlformats.org/officeDocument/2006/relationships/hyperlink" Target="https://www.ohchr.org/en/statements/2023/06/turk-urges-solidarity-face-gender-equality-backlash" TargetMode="External" Id="rId7" /><Relationship Type="http://schemas.openxmlformats.org/officeDocument/2006/relationships/hyperlink" Target="https://bicc.de/Publications/Report/Global-Militarisation-Index-2023/pu/14293" TargetMode="External"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bicc.de/publications/publicationpage/publication/global-militarisation-index-2022-1223/" TargetMode="External" Id="rId11" /><Relationship Type="http://schemas.openxmlformats.org/officeDocument/2006/relationships/footnotes" Target="footnotes.xml" Id="rId5" /><Relationship Type="http://schemas.openxmlformats.org/officeDocument/2006/relationships/hyperlink" Target="mailto:procurement@oxfam.dk" TargetMode="External" Id="rId15" /><Relationship Type="http://schemas.openxmlformats.org/officeDocument/2006/relationships/hyperlink" Target="https://www.hrw.org/news/2023/01/04/fight-womens-rights-fight-against-authoritarianism" TargetMode="External" Id="rId10" /><Relationship Type="http://schemas.openxmlformats.org/officeDocument/2006/relationships/webSettings" Target="webSettings.xml" Id="rId4" /><Relationship Type="http://schemas.openxmlformats.org/officeDocument/2006/relationships/hyperlink" Target="https://www.hrw.org/news/2023/01/04/fight-womens-rights-fight-against-authoritarianism" TargetMode="External" Id="rId9" /><Relationship Type="http://schemas.openxmlformats.org/officeDocument/2006/relationships/hyperlink" Target="https://www.cambridge.org/core/journals/politics-and-gender/article/abs/gender-equality-and-authoritarian-regimes-new-directions-for-research/8FDC3B640958F9D2C90964F7C7458F7B" TargetMode="External" Id="rId14" /></Relationships>
</file>

<file path=word/_rels/footnotes.xml.rels><?xml version="1.0" encoding="UTF-8" standalone="yes"?>
<Relationships xmlns="http://schemas.openxmlformats.org/package/2006/relationships"><Relationship Id="rId2" Type="http://schemas.openxmlformats.org/officeDocument/2006/relationships/hyperlink" Target="https://escolapau.uab.cat/img/programas/alerta/negociaciones/23/globali.pdf" TargetMode="External"/><Relationship Id="rId1" Type="http://schemas.openxmlformats.org/officeDocument/2006/relationships/hyperlink" Target="https://escolapau.uab.cat/img/programas/alerta/negociaciones/23/globali.pdf"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Miriam Reventlow</dc:creator>
  <keywords/>
  <dc:description/>
  <lastModifiedBy>Anette Ravn</lastModifiedBy>
  <revision>4</revision>
  <dcterms:created xsi:type="dcterms:W3CDTF">2024-09-09T10:54:00.0000000Z</dcterms:created>
  <dcterms:modified xsi:type="dcterms:W3CDTF">2024-09-10T09:31:16.5222735Z</dcterms:modified>
</coreProperties>
</file>